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2196A" w14:textId="0CCCA72F" w:rsidR="00727AEC" w:rsidRPr="00727AEC" w:rsidRDefault="00727AEC" w:rsidP="00727AEC">
      <w:pPr>
        <w:jc w:val="center"/>
        <w:rPr>
          <w:b/>
          <w:bCs/>
          <w:sz w:val="28"/>
          <w:szCs w:val="28"/>
        </w:rPr>
      </w:pPr>
      <w:bookmarkStart w:id="0" w:name="_GoBack"/>
      <w:bookmarkEnd w:id="0"/>
      <w:r w:rsidRPr="00727AEC">
        <w:rPr>
          <w:b/>
          <w:bCs/>
          <w:sz w:val="28"/>
          <w:szCs w:val="28"/>
        </w:rPr>
        <w:t>Case Study</w:t>
      </w:r>
    </w:p>
    <w:p w14:paraId="3F64A0E7" w14:textId="77777777" w:rsidR="00727AEC" w:rsidRDefault="00727AEC">
      <w:pPr>
        <w:rPr>
          <w:b/>
          <w:bCs/>
        </w:rPr>
      </w:pPr>
    </w:p>
    <w:p w14:paraId="1A25765A" w14:textId="6FC9CD9E" w:rsidR="0085151A" w:rsidRPr="009C1802" w:rsidRDefault="0085151A">
      <w:pPr>
        <w:rPr>
          <w:b/>
          <w:bCs/>
        </w:rPr>
      </w:pPr>
      <w:r w:rsidRPr="009C1802">
        <w:rPr>
          <w:b/>
          <w:bCs/>
        </w:rPr>
        <w:t>Introduction</w:t>
      </w:r>
    </w:p>
    <w:p w14:paraId="11F08C22" w14:textId="77777777" w:rsidR="0085151A" w:rsidRPr="00D87080" w:rsidRDefault="0085151A" w:rsidP="0085151A">
      <w:pPr>
        <w:jc w:val="both"/>
        <w:rPr>
          <w:rFonts w:ascii="Calibri" w:hAnsi="Calibri" w:cs="Calibri"/>
        </w:rPr>
      </w:pPr>
      <w:r w:rsidRPr="00D87080">
        <w:rPr>
          <w:rFonts w:ascii="Calibri" w:hAnsi="Calibri" w:cs="Calibri"/>
        </w:rPr>
        <w:t xml:space="preserve">The Individuals with Disabilities Education Act (IDEA) mandates a free and appropriate public education in the least restrictive environment for students who are eligible for special education services from the ages of 3 to 21. In accordance with IDEA, it is the school system’s legal responsibility to provide the “least restrictive” educational setting for the student while providing the necessary support and accommodations to enable the student to benefit from his/her education. These services are also intended to </w:t>
      </w:r>
      <w:r>
        <w:rPr>
          <w:rFonts w:ascii="Calibri" w:hAnsi="Calibri" w:cs="Calibri"/>
        </w:rPr>
        <w:t xml:space="preserve">improve </w:t>
      </w:r>
      <w:r w:rsidRPr="00D87080">
        <w:rPr>
          <w:rFonts w:ascii="Calibri" w:hAnsi="Calibri" w:cs="Calibri"/>
        </w:rPr>
        <w:t xml:space="preserve">the level of functioning, with the aim of increasing the degree of independence within the school setting of each student, as best as </w:t>
      </w:r>
      <w:r>
        <w:rPr>
          <w:rFonts w:ascii="Calibri" w:hAnsi="Calibri" w:cs="Calibri"/>
        </w:rPr>
        <w:t xml:space="preserve">possible. </w:t>
      </w:r>
    </w:p>
    <w:p w14:paraId="543C9EE9" w14:textId="6C9DA8FB" w:rsidR="0085151A" w:rsidRDefault="0085151A" w:rsidP="0085151A">
      <w:pPr>
        <w:jc w:val="both"/>
        <w:rPr>
          <w:rFonts w:ascii="Calibri" w:hAnsi="Calibri" w:cs="Calibri"/>
        </w:rPr>
      </w:pPr>
      <w:r w:rsidRPr="00D87080">
        <w:rPr>
          <w:rFonts w:ascii="Calibri" w:hAnsi="Calibri" w:cs="Calibri"/>
        </w:rPr>
        <w:t xml:space="preserve">The </w:t>
      </w:r>
      <w:r w:rsidR="0071027B">
        <w:rPr>
          <w:rFonts w:ascii="Calibri" w:hAnsi="Calibri" w:cs="Calibri"/>
        </w:rPr>
        <w:t>New York City Department of Education (</w:t>
      </w:r>
      <w:r w:rsidRPr="00D87080">
        <w:rPr>
          <w:rFonts w:ascii="Calibri" w:hAnsi="Calibri" w:cs="Calibri"/>
        </w:rPr>
        <w:t>DOE</w:t>
      </w:r>
      <w:r w:rsidR="0071027B">
        <w:rPr>
          <w:rFonts w:ascii="Calibri" w:hAnsi="Calibri" w:cs="Calibri"/>
        </w:rPr>
        <w:t>)</w:t>
      </w:r>
      <w:r w:rsidRPr="00D87080">
        <w:rPr>
          <w:rFonts w:ascii="Calibri" w:hAnsi="Calibri" w:cs="Calibri"/>
        </w:rPr>
        <w:t xml:space="preserve"> employs and contracts therapists to provide these services in the school </w:t>
      </w:r>
      <w:r>
        <w:rPr>
          <w:rFonts w:ascii="Calibri" w:hAnsi="Calibri" w:cs="Calibri"/>
        </w:rPr>
        <w:t>environment</w:t>
      </w:r>
      <w:r w:rsidRPr="00D87080">
        <w:rPr>
          <w:rFonts w:ascii="Calibri" w:hAnsi="Calibri" w:cs="Calibri"/>
        </w:rPr>
        <w:t xml:space="preserve">. These services are Medicaid reimbursable </w:t>
      </w:r>
      <w:r w:rsidR="001F124B" w:rsidRPr="008104A6">
        <w:rPr>
          <w:rFonts w:ascii="Calibri" w:hAnsi="Calibri" w:cs="Calibri"/>
        </w:rPr>
        <w:t xml:space="preserve">however, </w:t>
      </w:r>
      <w:r w:rsidRPr="008104A6">
        <w:rPr>
          <w:rFonts w:ascii="Calibri" w:hAnsi="Calibri" w:cs="Calibri"/>
        </w:rPr>
        <w:t>if the</w:t>
      </w:r>
      <w:r w:rsidR="008104A6" w:rsidRPr="008104A6">
        <w:rPr>
          <w:rFonts w:ascii="Calibri" w:hAnsi="Calibri" w:cs="Calibri"/>
        </w:rPr>
        <w:t>se services</w:t>
      </w:r>
      <w:r w:rsidRPr="008104A6">
        <w:rPr>
          <w:rFonts w:ascii="Calibri" w:hAnsi="Calibri" w:cs="Calibri"/>
        </w:rPr>
        <w:t xml:space="preserve"> are supported by a doctor’s order that they are medically necessary and satisfy other documentation requirements</w:t>
      </w:r>
      <w:r w:rsidR="001F124B" w:rsidRPr="008104A6">
        <w:rPr>
          <w:rFonts w:ascii="Calibri" w:hAnsi="Calibri" w:cs="Calibri"/>
        </w:rPr>
        <w:t xml:space="preserve"> </w:t>
      </w:r>
      <w:r w:rsidR="001F124B">
        <w:rPr>
          <w:rFonts w:ascii="Calibri" w:hAnsi="Calibri" w:cs="Calibri"/>
        </w:rPr>
        <w:t>i</w:t>
      </w:r>
      <w:r w:rsidRPr="00D87080">
        <w:rPr>
          <w:rFonts w:ascii="Calibri" w:hAnsi="Calibri" w:cs="Calibri"/>
        </w:rPr>
        <w:t>n order to submit a claim for reimbursement of the therapy services</w:t>
      </w:r>
      <w:r w:rsidR="008104A6">
        <w:rPr>
          <w:rFonts w:ascii="Calibri" w:hAnsi="Calibri" w:cs="Calibri"/>
        </w:rPr>
        <w:t>.</w:t>
      </w:r>
      <w:r w:rsidRPr="00D87080">
        <w:rPr>
          <w:rFonts w:ascii="Calibri" w:hAnsi="Calibri" w:cs="Calibri"/>
        </w:rPr>
        <w:t xml:space="preserve"> </w:t>
      </w:r>
      <w:r w:rsidR="008104A6">
        <w:rPr>
          <w:rFonts w:ascii="Calibri" w:hAnsi="Calibri" w:cs="Calibri"/>
        </w:rPr>
        <w:t>T</w:t>
      </w:r>
      <w:r w:rsidRPr="00D87080">
        <w:rPr>
          <w:rFonts w:ascii="Calibri" w:hAnsi="Calibri" w:cs="Calibri"/>
        </w:rPr>
        <w:t>he DOE must include documentation from a licensed physician authorizing the services as medically necessary</w:t>
      </w:r>
      <w:r w:rsidR="001F124B">
        <w:rPr>
          <w:rFonts w:ascii="Calibri" w:hAnsi="Calibri" w:cs="Calibri"/>
        </w:rPr>
        <w:t xml:space="preserve"> t</w:t>
      </w:r>
      <w:r w:rsidRPr="00D87080">
        <w:rPr>
          <w:rFonts w:ascii="Calibri" w:hAnsi="Calibri" w:cs="Calibri"/>
        </w:rPr>
        <w:t xml:space="preserve">hus, the DOE will assign physicians to visit school sites where these therapy services are being provided. The physicians will review each student’s chart, including past medical records, the student’s “Individualized Education Program” (IEP) and other relevant documents. The physician will interact with relevant school staff and briefly observe the student during a therapy session and/or within the classroom or </w:t>
      </w:r>
      <w:r w:rsidR="008104A6">
        <w:rPr>
          <w:rFonts w:ascii="Calibri" w:hAnsi="Calibri" w:cs="Calibri"/>
        </w:rPr>
        <w:t xml:space="preserve">other </w:t>
      </w:r>
      <w:r w:rsidRPr="00D87080">
        <w:rPr>
          <w:rFonts w:ascii="Calibri" w:hAnsi="Calibri" w:cs="Calibri"/>
        </w:rPr>
        <w:t>school setting.  If the physician determines that the service is medically necessary, the physician then provide</w:t>
      </w:r>
      <w:r w:rsidR="001F124B">
        <w:rPr>
          <w:rFonts w:ascii="Calibri" w:hAnsi="Calibri" w:cs="Calibri"/>
        </w:rPr>
        <w:t>s</w:t>
      </w:r>
      <w:r w:rsidRPr="00D87080">
        <w:rPr>
          <w:rFonts w:ascii="Calibri" w:hAnsi="Calibri" w:cs="Calibri"/>
        </w:rPr>
        <w:t xml:space="preserve"> the required order to support the claim for Medicaid reimbursement.  Additionally, the physician may make recommendations with respect to the ongoing provision</w:t>
      </w:r>
      <w:r>
        <w:rPr>
          <w:rFonts w:ascii="Calibri" w:hAnsi="Calibri" w:cs="Calibri"/>
        </w:rPr>
        <w:t>s</w:t>
      </w:r>
      <w:r w:rsidRPr="00D87080">
        <w:rPr>
          <w:rFonts w:ascii="Calibri" w:hAnsi="Calibri" w:cs="Calibri"/>
        </w:rPr>
        <w:t xml:space="preserve"> of occupational, physical and/or speech therapy to further the goals o</w:t>
      </w:r>
      <w:r>
        <w:rPr>
          <w:rFonts w:ascii="Calibri" w:hAnsi="Calibri" w:cs="Calibri"/>
        </w:rPr>
        <w:t>f</w:t>
      </w:r>
      <w:r w:rsidRPr="00D87080">
        <w:rPr>
          <w:rFonts w:ascii="Calibri" w:hAnsi="Calibri" w:cs="Calibri"/>
        </w:rPr>
        <w:t xml:space="preserve"> the student’s IEP.  </w:t>
      </w:r>
    </w:p>
    <w:p w14:paraId="34A93114" w14:textId="77777777" w:rsidR="00D5067B" w:rsidRPr="009C1802" w:rsidRDefault="0085151A">
      <w:pPr>
        <w:rPr>
          <w:b/>
          <w:bCs/>
        </w:rPr>
      </w:pPr>
      <w:r w:rsidRPr="009C1802">
        <w:rPr>
          <w:b/>
          <w:bCs/>
        </w:rPr>
        <w:t>Problem Statement</w:t>
      </w:r>
    </w:p>
    <w:p w14:paraId="59CC9D56" w14:textId="068023D1" w:rsidR="0085151A" w:rsidRDefault="002B5B79">
      <w:r>
        <w:t>The pro</w:t>
      </w:r>
      <w:r w:rsidR="009C1802">
        <w:t>duction of the</w:t>
      </w:r>
      <w:r w:rsidR="003A0294">
        <w:t xml:space="preserve"> </w:t>
      </w:r>
      <w:r w:rsidR="003A0294" w:rsidRPr="00770D59">
        <w:t>physician</w:t>
      </w:r>
      <w:r>
        <w:t xml:space="preserve"> orders grew significantly over</w:t>
      </w:r>
      <w:r w:rsidR="003C16B2">
        <w:t xml:space="preserve"> the past two years </w:t>
      </w:r>
      <w:r>
        <w:t>with a record</w:t>
      </w:r>
      <w:r w:rsidR="006E6BC8">
        <w:t xml:space="preserve"> of over</w:t>
      </w:r>
      <w:r>
        <w:t xml:space="preserve"> 65,000 orders</w:t>
      </w:r>
      <w:r w:rsidR="00AB628E">
        <w:t xml:space="preserve"> produced</w:t>
      </w:r>
      <w:r>
        <w:t xml:space="preserve"> </w:t>
      </w:r>
      <w:r w:rsidR="003A0294">
        <w:t xml:space="preserve">in the </w:t>
      </w:r>
      <w:r>
        <w:t xml:space="preserve">last school year. In spite </w:t>
      </w:r>
      <w:r w:rsidR="003A0294" w:rsidRPr="00770D59">
        <w:t xml:space="preserve">of this </w:t>
      </w:r>
      <w:r>
        <w:t xml:space="preserve">growth, </w:t>
      </w:r>
      <w:r w:rsidR="003C16B2">
        <w:t>there exists a gap between students who received the services and orders</w:t>
      </w:r>
      <w:r>
        <w:t xml:space="preserve"> written</w:t>
      </w:r>
      <w:r w:rsidR="003C16B2">
        <w:t>.</w:t>
      </w:r>
      <w:r>
        <w:t xml:space="preserve"> </w:t>
      </w:r>
      <w:r w:rsidR="003A0294">
        <w:t xml:space="preserve">For the </w:t>
      </w:r>
      <w:r w:rsidR="003A0294" w:rsidRPr="00770D59">
        <w:t>school year 2018-2019</w:t>
      </w:r>
      <w:r>
        <w:t xml:space="preserve">, it is estimated that approximately 7,328 students received </w:t>
      </w:r>
      <w:r w:rsidR="00FF1A66">
        <w:t>Occupational Therapist (</w:t>
      </w:r>
      <w:r>
        <w:t>OT</w:t>
      </w:r>
      <w:r w:rsidR="00FF1A66">
        <w:t>)</w:t>
      </w:r>
      <w:r>
        <w:t xml:space="preserve"> and/</w:t>
      </w:r>
      <w:r w:rsidR="00FF1A66">
        <w:t>or Physical Therapist</w:t>
      </w:r>
      <w:r>
        <w:t xml:space="preserve"> </w:t>
      </w:r>
      <w:r w:rsidR="00FF1A66">
        <w:t>(</w:t>
      </w:r>
      <w:r>
        <w:t>PT</w:t>
      </w:r>
      <w:r w:rsidR="00FF1A66">
        <w:t>)</w:t>
      </w:r>
      <w:r>
        <w:t xml:space="preserve"> services</w:t>
      </w:r>
      <w:r w:rsidR="003A0294" w:rsidRPr="00770D59">
        <w:t>, however zero</w:t>
      </w:r>
      <w:r w:rsidRPr="00770D59">
        <w:t xml:space="preserve"> </w:t>
      </w:r>
      <w:r>
        <w:t>order</w:t>
      </w:r>
      <w:r w:rsidR="00AB628E">
        <w:t>s</w:t>
      </w:r>
      <w:r>
        <w:t xml:space="preserve"> were written due primarily to </w:t>
      </w:r>
      <w:r w:rsidR="00A91E35">
        <w:t>student</w:t>
      </w:r>
      <w:r w:rsidR="00770D59">
        <w:t>s’</w:t>
      </w:r>
      <w:r w:rsidR="00A91E35">
        <w:t xml:space="preserve"> </w:t>
      </w:r>
      <w:r>
        <w:t>absences</w:t>
      </w:r>
      <w:r w:rsidR="00124970">
        <w:t>, unavailability of the student</w:t>
      </w:r>
      <w:r w:rsidR="00770D59">
        <w:t>s</w:t>
      </w:r>
      <w:r>
        <w:t xml:space="preserve"> on the day the physician vis</w:t>
      </w:r>
      <w:r w:rsidR="00AB628E">
        <w:t>i</w:t>
      </w:r>
      <w:r w:rsidR="00124970">
        <w:t>ted the school or</w:t>
      </w:r>
      <w:r w:rsidR="00AB628E">
        <w:t xml:space="preserve"> priority to visit schools with large</w:t>
      </w:r>
      <w:r w:rsidR="00A91E35">
        <w:t>r</w:t>
      </w:r>
      <w:r w:rsidR="00AB628E">
        <w:t xml:space="preserve"> caseloads. These students were Medicaid eligible and had parental consent on file. This neglect represents $4 million of unreimbursed revenue</w:t>
      </w:r>
      <w:r w:rsidR="0012512B">
        <w:t xml:space="preserve"> from the State</w:t>
      </w:r>
      <w:r w:rsidR="00AB628E">
        <w:t>.</w:t>
      </w:r>
      <w:r w:rsidR="00C57390">
        <w:t xml:space="preserve"> </w:t>
      </w:r>
    </w:p>
    <w:p w14:paraId="19BCDA9D" w14:textId="04B28E10" w:rsidR="002511AC" w:rsidRPr="001604A9" w:rsidRDefault="002511AC">
      <w:pPr>
        <w:rPr>
          <w:b/>
          <w:bCs/>
        </w:rPr>
      </w:pPr>
      <w:r w:rsidRPr="001604A9">
        <w:rPr>
          <w:b/>
          <w:bCs/>
        </w:rPr>
        <w:t>The following factors should be taken into consideration</w:t>
      </w:r>
      <w:r w:rsidR="0092632F" w:rsidRPr="001604A9">
        <w:rPr>
          <w:b/>
          <w:bCs/>
        </w:rPr>
        <w:t xml:space="preserve"> </w:t>
      </w:r>
      <w:r w:rsidR="00894CFE">
        <w:rPr>
          <w:b/>
          <w:bCs/>
        </w:rPr>
        <w:t>for</w:t>
      </w:r>
      <w:r w:rsidR="0092632F" w:rsidRPr="001604A9">
        <w:rPr>
          <w:b/>
          <w:bCs/>
        </w:rPr>
        <w:t xml:space="preserve"> the future plan</w:t>
      </w:r>
      <w:r w:rsidR="0076322A" w:rsidRPr="001604A9">
        <w:rPr>
          <w:b/>
          <w:bCs/>
        </w:rPr>
        <w:t>ning</w:t>
      </w:r>
      <w:r w:rsidRPr="001604A9">
        <w:rPr>
          <w:b/>
          <w:bCs/>
        </w:rPr>
        <w:t>:</w:t>
      </w:r>
    </w:p>
    <w:p w14:paraId="5F475716" w14:textId="77777777" w:rsidR="001604A9" w:rsidRDefault="002511AC" w:rsidP="0062389E">
      <w:pPr>
        <w:pStyle w:val="ListParagraph"/>
        <w:numPr>
          <w:ilvl w:val="0"/>
          <w:numId w:val="13"/>
        </w:numPr>
      </w:pPr>
      <w:r>
        <w:t>T</w:t>
      </w:r>
      <w:r w:rsidR="00124970">
        <w:t>he DOE does not currently have an alternate method to secure orders for students without an OT or PT on staff who can demonstrate need for the services</w:t>
      </w:r>
      <w:r w:rsidR="001604A9">
        <w:t>.</w:t>
      </w:r>
    </w:p>
    <w:p w14:paraId="7D1B81DD" w14:textId="3156D8B5" w:rsidR="00124970" w:rsidRPr="0062389E" w:rsidRDefault="001604A9" w:rsidP="0062389E">
      <w:pPr>
        <w:pStyle w:val="ListParagraph"/>
        <w:numPr>
          <w:ilvl w:val="0"/>
          <w:numId w:val="13"/>
        </w:numPr>
        <w:rPr>
          <w:color w:val="FF0000"/>
        </w:rPr>
      </w:pPr>
      <w:r>
        <w:t>Students must be present at school for OT/PT services.</w:t>
      </w:r>
      <w:r w:rsidR="00124970" w:rsidRPr="0062389E">
        <w:rPr>
          <w:color w:val="FF0000"/>
        </w:rPr>
        <w:t xml:space="preserve"> </w:t>
      </w:r>
    </w:p>
    <w:p w14:paraId="2351EA68" w14:textId="77777777" w:rsidR="00937F94" w:rsidRDefault="00937F94" w:rsidP="0062389E">
      <w:pPr>
        <w:pStyle w:val="ListParagraph"/>
        <w:numPr>
          <w:ilvl w:val="0"/>
          <w:numId w:val="13"/>
        </w:numPr>
      </w:pPr>
      <w:r>
        <w:t>Each order is only valid for one year.</w:t>
      </w:r>
    </w:p>
    <w:p w14:paraId="189A59A5" w14:textId="77777777" w:rsidR="00C05A54" w:rsidRDefault="00C05A54" w:rsidP="0062389E">
      <w:pPr>
        <w:pStyle w:val="ListParagraph"/>
        <w:numPr>
          <w:ilvl w:val="0"/>
          <w:numId w:val="13"/>
        </w:numPr>
      </w:pPr>
      <w:r>
        <w:t>The reimbursement cost for each order is $566.00</w:t>
      </w:r>
    </w:p>
    <w:p w14:paraId="7551A851" w14:textId="77777777" w:rsidR="0062389E" w:rsidRDefault="002511AC" w:rsidP="0062389E">
      <w:pPr>
        <w:pStyle w:val="ListParagraph"/>
        <w:numPr>
          <w:ilvl w:val="0"/>
          <w:numId w:val="13"/>
        </w:numPr>
      </w:pPr>
      <w:r>
        <w:lastRenderedPageBreak/>
        <w:t xml:space="preserve">The Pre-K Community Partners has 4,965 students receiving </w:t>
      </w:r>
      <w:r w:rsidR="00DE7BC5">
        <w:t xml:space="preserve">OT/PT </w:t>
      </w:r>
      <w:r>
        <w:t xml:space="preserve">services in over 1,146 locations throughout the city. These Pre-K programs potentially could yield an estimated $5.96 million according to the Central Medicaid Office. </w:t>
      </w:r>
    </w:p>
    <w:p w14:paraId="13850445" w14:textId="022234D6" w:rsidR="003A0294" w:rsidRPr="0062389E" w:rsidRDefault="003A0294" w:rsidP="0062389E">
      <w:pPr>
        <w:pStyle w:val="ListParagraph"/>
        <w:numPr>
          <w:ilvl w:val="0"/>
          <w:numId w:val="13"/>
        </w:numPr>
      </w:pPr>
      <w:r w:rsidRPr="0062389E">
        <w:t>It is estimated that Affiliated Charter schools would produce an additional $7.86 Million should the DOE include these students is future visits.</w:t>
      </w:r>
    </w:p>
    <w:p w14:paraId="749E6AE4" w14:textId="77777777" w:rsidR="0092632F" w:rsidRPr="001604A9" w:rsidRDefault="0092632F">
      <w:pPr>
        <w:rPr>
          <w:b/>
          <w:bCs/>
        </w:rPr>
      </w:pPr>
      <w:r w:rsidRPr="001604A9">
        <w:rPr>
          <w:b/>
          <w:bCs/>
        </w:rPr>
        <w:t>Brief History</w:t>
      </w:r>
    </w:p>
    <w:p w14:paraId="7C77B44C" w14:textId="10C1FDAA" w:rsidR="0092632F" w:rsidRPr="0080199C" w:rsidRDefault="0092632F" w:rsidP="0092632F">
      <w:pPr>
        <w:jc w:val="both"/>
        <w:rPr>
          <w:rFonts w:ascii="Calibri" w:hAnsi="Calibri" w:cs="Calibri"/>
          <w:color w:val="FF0000"/>
        </w:rPr>
      </w:pPr>
      <w:r>
        <w:rPr>
          <w:rFonts w:ascii="Calibri" w:hAnsi="Calibri" w:cs="Calibri"/>
        </w:rPr>
        <w:t>The Office of Health Services under the direction of the Office of School Health manages and coordinates the physicians’ school visits and input the completed Medicaid orders in the A</w:t>
      </w:r>
      <w:r w:rsidR="002C40AA">
        <w:rPr>
          <w:rFonts w:ascii="Calibri" w:hAnsi="Calibri" w:cs="Calibri"/>
        </w:rPr>
        <w:t xml:space="preserve">utomated </w:t>
      </w:r>
      <w:r>
        <w:rPr>
          <w:rFonts w:ascii="Calibri" w:hAnsi="Calibri" w:cs="Calibri"/>
        </w:rPr>
        <w:t>S</w:t>
      </w:r>
      <w:r w:rsidR="002C40AA">
        <w:rPr>
          <w:rFonts w:ascii="Calibri" w:hAnsi="Calibri" w:cs="Calibri"/>
        </w:rPr>
        <w:t xml:space="preserve">tudent </w:t>
      </w:r>
      <w:r>
        <w:rPr>
          <w:rFonts w:ascii="Calibri" w:hAnsi="Calibri" w:cs="Calibri"/>
        </w:rPr>
        <w:t>H</w:t>
      </w:r>
      <w:r w:rsidR="002C40AA">
        <w:rPr>
          <w:rFonts w:ascii="Calibri" w:hAnsi="Calibri" w:cs="Calibri"/>
        </w:rPr>
        <w:t xml:space="preserve">ealth </w:t>
      </w:r>
      <w:r>
        <w:rPr>
          <w:rFonts w:ascii="Calibri" w:hAnsi="Calibri" w:cs="Calibri"/>
        </w:rPr>
        <w:t>R</w:t>
      </w:r>
      <w:r w:rsidR="002C40AA">
        <w:rPr>
          <w:rFonts w:ascii="Calibri" w:hAnsi="Calibri" w:cs="Calibri"/>
        </w:rPr>
        <w:t>ecords (ASHR)</w:t>
      </w:r>
      <w:r>
        <w:rPr>
          <w:rFonts w:ascii="Calibri" w:hAnsi="Calibri" w:cs="Calibri"/>
        </w:rPr>
        <w:t xml:space="preserve">. This </w:t>
      </w:r>
      <w:r w:rsidR="00CB7BC6">
        <w:rPr>
          <w:rFonts w:ascii="Calibri" w:hAnsi="Calibri" w:cs="Calibri"/>
        </w:rPr>
        <w:t>program was established in 201</w:t>
      </w:r>
      <w:r w:rsidR="00C9238E">
        <w:rPr>
          <w:rFonts w:ascii="Calibri" w:hAnsi="Calibri" w:cs="Calibri"/>
        </w:rPr>
        <w:t>1</w:t>
      </w:r>
      <w:r w:rsidR="00CB7BC6">
        <w:rPr>
          <w:rFonts w:ascii="Calibri" w:hAnsi="Calibri" w:cs="Calibri"/>
        </w:rPr>
        <w:t>-1</w:t>
      </w:r>
      <w:r w:rsidR="00C9238E">
        <w:rPr>
          <w:rFonts w:ascii="Calibri" w:hAnsi="Calibri" w:cs="Calibri"/>
        </w:rPr>
        <w:t>2</w:t>
      </w:r>
      <w:r w:rsidR="00CB7BC6">
        <w:rPr>
          <w:rFonts w:ascii="Calibri" w:hAnsi="Calibri" w:cs="Calibri"/>
        </w:rPr>
        <w:t xml:space="preserve"> school year</w:t>
      </w:r>
      <w:r>
        <w:rPr>
          <w:rFonts w:ascii="Calibri" w:hAnsi="Calibri" w:cs="Calibri"/>
        </w:rPr>
        <w:t xml:space="preserve"> with 15 physicians including 1 clinical supervisor, 1 program manager and 1 program supervisor and </w:t>
      </w:r>
      <w:r w:rsidR="00C9238E">
        <w:rPr>
          <w:rFonts w:ascii="Calibri" w:hAnsi="Calibri" w:cs="Calibri"/>
        </w:rPr>
        <w:t>3</w:t>
      </w:r>
      <w:r>
        <w:rPr>
          <w:rFonts w:ascii="Calibri" w:hAnsi="Calibri" w:cs="Calibri"/>
        </w:rPr>
        <w:t xml:space="preserve"> </w:t>
      </w:r>
      <w:r w:rsidR="00C9238E">
        <w:rPr>
          <w:rFonts w:ascii="Calibri" w:hAnsi="Calibri" w:cs="Calibri"/>
        </w:rPr>
        <w:t>administrative</w:t>
      </w:r>
      <w:r>
        <w:rPr>
          <w:rFonts w:ascii="Calibri" w:hAnsi="Calibri" w:cs="Calibri"/>
        </w:rPr>
        <w:t xml:space="preserve"> staff. </w:t>
      </w:r>
      <w:r w:rsidR="00C9238E">
        <w:rPr>
          <w:rFonts w:ascii="Calibri" w:hAnsi="Calibri" w:cs="Calibri"/>
        </w:rPr>
        <w:t xml:space="preserve">The program currently has 14 physicians on staff. </w:t>
      </w:r>
      <w:r>
        <w:rPr>
          <w:rFonts w:ascii="Calibri" w:hAnsi="Calibri" w:cs="Calibri"/>
        </w:rPr>
        <w:t xml:space="preserve">Most of the physicians work 5 hours </w:t>
      </w:r>
      <w:r w:rsidR="0080199C">
        <w:rPr>
          <w:rFonts w:ascii="Calibri" w:hAnsi="Calibri" w:cs="Calibri"/>
        </w:rPr>
        <w:t>each</w:t>
      </w:r>
      <w:r>
        <w:rPr>
          <w:rFonts w:ascii="Calibri" w:hAnsi="Calibri" w:cs="Calibri"/>
        </w:rPr>
        <w:t xml:space="preserve"> day. The DOE school system has over 1,900 schools</w:t>
      </w:r>
      <w:r w:rsidR="0062389E">
        <w:rPr>
          <w:rFonts w:ascii="Calibri" w:hAnsi="Calibri" w:cs="Calibri"/>
        </w:rPr>
        <w:t>.</w:t>
      </w:r>
      <w:r>
        <w:rPr>
          <w:rFonts w:ascii="Calibri" w:hAnsi="Calibri" w:cs="Calibri"/>
        </w:rPr>
        <w:t xml:space="preserve"> </w:t>
      </w:r>
    </w:p>
    <w:p w14:paraId="3F1230BD" w14:textId="0FE3E6D6" w:rsidR="00504D29" w:rsidRPr="008671F2" w:rsidRDefault="008671F2" w:rsidP="0092632F">
      <w:pPr>
        <w:jc w:val="both"/>
        <w:rPr>
          <w:rFonts w:ascii="Calibri" w:hAnsi="Calibri" w:cs="Calibri"/>
          <w:b/>
          <w:bCs/>
        </w:rPr>
      </w:pPr>
      <w:r w:rsidRPr="008671F2">
        <w:rPr>
          <w:rFonts w:ascii="Calibri" w:hAnsi="Calibri" w:cs="Calibri"/>
          <w:b/>
          <w:bCs/>
        </w:rPr>
        <w:t>Literature Review</w:t>
      </w:r>
    </w:p>
    <w:p w14:paraId="3E6565C6" w14:textId="04F015BE" w:rsidR="008671F2" w:rsidRPr="00880DDE" w:rsidRDefault="008671F2" w:rsidP="008671F2">
      <w:pPr>
        <w:rPr>
          <w:rFonts w:cstheme="minorHAnsi"/>
          <w:shd w:val="clear" w:color="auto" w:fill="FFFFFF"/>
        </w:rPr>
      </w:pPr>
      <w:r w:rsidRPr="00880DDE">
        <w:rPr>
          <w:rFonts w:cstheme="minorHAnsi"/>
          <w:shd w:val="clear" w:color="auto" w:fill="FFFFFF"/>
        </w:rPr>
        <w:fldChar w:fldCharType="begin"/>
      </w:r>
      <w:r w:rsidR="00307135">
        <w:rPr>
          <w:rFonts w:cstheme="minorHAnsi"/>
          <w:shd w:val="clear" w:color="auto" w:fill="FFFFFF"/>
        </w:rPr>
        <w:instrText xml:space="preserve"> ADDIN ZOTERO_ITEM CSL_CITATION {"citationID":"cwUHR0GV","properties":{"formattedCitation":"(Hanaysha, 2016)","plainCitation":"(Hanaysha, 2016)","noteIndex":0},"citationItems":[{"id":595,"uris":["http://zotero.org/users/5075968/items/8AJ356WX"],"uri":["http://zotero.org/users/5075968/items/8AJ356WX"],"itemData":{"id":595,"type":"article-journal","abstract":"Employee productivity is one of the important management topics that received significant research attentions from several scholars and considered as a primary mechanism to enhance organizational success. Knowing what are the key factors that influence productivity is vital to ensure long term performance. This study examines the effect of work engagement on employee productivity in higher education sector. To accomplish this purpose, the primary data using survey instrument were collected from a sample of 242 employees at public universities in northern Malaysia using an online survey method. The collected data was analyzed using SPSS and Structural equation modelling on AMOS. The results indicated that work engagement had significant positive effect on employee productivity. Moreover, this study provides an evidence that all of the dimensions of work engagement namely vigor, dedication, and absorption have significant positive effects on employee productivity.","container-title":"Management Science Letters","DOI":"10.5267/j.msl.2015.11.006","journalAbbreviation":"Management Science Letters","page":"61-70","source":"ResearchGate","title":"Improving employee productivity through work engagement: Evidence from higher education sector","title-short":"Improving employee productivity through work engagement","volume":"6","author":[{"family":"Hanaysha","given":"Jalal"}],"issued":{"date-parts":[["2016",1,1]]}}}],"schema":"https://github.com/citation-style-language/schema/raw/master/csl-citation.json"} </w:instrText>
      </w:r>
      <w:r w:rsidRPr="00880DDE">
        <w:rPr>
          <w:rFonts w:cstheme="minorHAnsi"/>
          <w:shd w:val="clear" w:color="auto" w:fill="FFFFFF"/>
        </w:rPr>
        <w:fldChar w:fldCharType="separate"/>
      </w:r>
      <w:r w:rsidRPr="00880DDE">
        <w:rPr>
          <w:rFonts w:cstheme="minorHAnsi"/>
        </w:rPr>
        <w:t>(Hanaysha, 2016)</w:t>
      </w:r>
      <w:r w:rsidRPr="00880DDE">
        <w:rPr>
          <w:rFonts w:cstheme="minorHAnsi"/>
          <w:shd w:val="clear" w:color="auto" w:fill="FFFFFF"/>
        </w:rPr>
        <w:fldChar w:fldCharType="end"/>
      </w:r>
      <w:r w:rsidRPr="00880DDE">
        <w:rPr>
          <w:rFonts w:cstheme="minorHAnsi"/>
          <w:shd w:val="clear" w:color="auto" w:fill="FFFFFF"/>
        </w:rPr>
        <w:t xml:space="preserve"> posited that employee productivity is an important management topic and is considered a primary mechanism to enhance organizational success especially if the key factors that influence productivity are vital to ensure long term performance are known. </w:t>
      </w:r>
      <w:r w:rsidRPr="00880DDE">
        <w:rPr>
          <w:rFonts w:cstheme="minorHAnsi"/>
          <w:shd w:val="clear" w:color="auto" w:fill="FFFFFF"/>
        </w:rPr>
        <w:fldChar w:fldCharType="begin"/>
      </w:r>
      <w:r w:rsidR="00307135">
        <w:rPr>
          <w:rFonts w:cstheme="minorHAnsi"/>
          <w:shd w:val="clear" w:color="auto" w:fill="FFFFFF"/>
        </w:rPr>
        <w:instrText xml:space="preserve"> ADDIN ZOTERO_ITEM CSL_CITATION {"citationID":"nuyT3vQ0","properties":{"formattedCitation":"(Kumar et al., 2016)","plainCitation":"(Kumar et al., 2016)","noteIndex":0},"citationItems":[{"id":594,"uris":["http://zotero.org/users/5075968/items/ES43252F"],"uri":["http://zotero.org/users/5075968/items/ES43252F"],"itemData":{"id":594,"type":"article-journal","abstract":"Productivity as a measure for output is important to industry and academia. In this research, factors to enhance productivity have been identified from the literature by reviewing various international and national sources to explore this evergreen field of research that is “productivity,” which has always been an increasingly interesting area of research for researchers over decades or perhaps over centuries. In total, 15 number of factors have been identified to enhance productivity. Analytic hierarchy process approach has been appropriately chosen to rank these factors because of its simplicity and effectiveness. The tool has been used by taking perception of experts from the Indian manufacturing industry. Positive attitude and involvement of management, proactive employees, and good working conditions have been ranked as top three factors as per the experts’ opinion. The ranking of factors to enhance productivity, categorization of the factors into four perspectives, and hierarchy of perspective and action plan as a final outcome of the paper may help academia and operations managers toward effective management of “operations and production activities of firms/supply chains.”","container-title":"Cogent Engineering","DOI":"10.1080/23311916.2016.1145043","ISSN":"null","issue":"1","page":"1145043","source":"Taylor and Francis+NEJM","title":"Evaluation of factors important to enhance productivity","volume":"3","author":[{"family":"Kumar","given":"Sanjay"},{"family":"Duhan","given":"Manish"},{"family":"Haleem","given":"Abid"}],"editor":[{"family":"Zhou","given":"Zude"}],"issued":{"date-parts":[["2016",12,31]]}}}],"schema":"https://github.com/citation-style-language/schema/raw/master/csl-citation.json"} </w:instrText>
      </w:r>
      <w:r w:rsidRPr="00880DDE">
        <w:rPr>
          <w:rFonts w:cstheme="minorHAnsi"/>
          <w:shd w:val="clear" w:color="auto" w:fill="FFFFFF"/>
        </w:rPr>
        <w:fldChar w:fldCharType="separate"/>
      </w:r>
      <w:r w:rsidRPr="00880DDE">
        <w:rPr>
          <w:rFonts w:cstheme="minorHAnsi"/>
        </w:rPr>
        <w:t>(Kumar et al., 2016)</w:t>
      </w:r>
      <w:r w:rsidRPr="00880DDE">
        <w:rPr>
          <w:rFonts w:cstheme="minorHAnsi"/>
          <w:shd w:val="clear" w:color="auto" w:fill="FFFFFF"/>
        </w:rPr>
        <w:fldChar w:fldCharType="end"/>
      </w:r>
      <w:r w:rsidRPr="00880DDE">
        <w:rPr>
          <w:rFonts w:cstheme="minorHAnsi"/>
          <w:shd w:val="clear" w:color="auto" w:fill="FFFFFF"/>
        </w:rPr>
        <w:t xml:space="preserve"> studies concluded that experts agreed on </w:t>
      </w:r>
      <w:r w:rsidRPr="00880DDE">
        <w:rPr>
          <w:rFonts w:cstheme="minorHAnsi"/>
        </w:rPr>
        <w:t>positive attitude and involvement of management, proactive employees, and good working conditions as</w:t>
      </w:r>
      <w:r w:rsidR="00880DDE" w:rsidRPr="00880DDE">
        <w:rPr>
          <w:rFonts w:cstheme="minorHAnsi"/>
        </w:rPr>
        <w:t xml:space="preserve"> the</w:t>
      </w:r>
      <w:r w:rsidRPr="00880DDE">
        <w:rPr>
          <w:rFonts w:cstheme="minorHAnsi"/>
        </w:rPr>
        <w:t xml:space="preserve"> top three factors in the manufacturing industry. </w:t>
      </w:r>
      <w:r w:rsidRPr="00880DDE">
        <w:rPr>
          <w:rFonts w:cstheme="minorHAnsi"/>
        </w:rPr>
        <w:fldChar w:fldCharType="begin"/>
      </w:r>
      <w:r w:rsidR="00307135">
        <w:rPr>
          <w:rFonts w:cstheme="minorHAnsi"/>
        </w:rPr>
        <w:instrText xml:space="preserve"> ADDIN ZOTERO_ITEM CSL_CITATION {"citationID":"zPJULgd1","properties":{"formattedCitation":"(OSHO, Augustine E, 2014)","plainCitation":"(OSHO, Augustine E, 2014)","dontUpdate":true,"noteIndex":0},"citationItems":[{"id":592,"uris":["http://zotero.org/users/5075968/items/UVYCFQ7E"],"uri":["http://zotero.org/users/5075968/items/UVYCFQ7E"],"itemData":{"id":592,"type":"article-journal","title":"Management as Practice: Improving Productivity and Performance in Organizational Setting","author":[{"literal":"OSHO, Augustine E"}]}}],"schema":"https://github.com/citation-style-language/schema/raw/master/csl-citation.json"} </w:instrText>
      </w:r>
      <w:r w:rsidRPr="00880DDE">
        <w:rPr>
          <w:rFonts w:cstheme="minorHAnsi"/>
        </w:rPr>
        <w:fldChar w:fldCharType="separate"/>
      </w:r>
      <w:r w:rsidRPr="00880DDE">
        <w:rPr>
          <w:rFonts w:cstheme="minorHAnsi"/>
        </w:rPr>
        <w:t>(OSHO, 2014)</w:t>
      </w:r>
      <w:r w:rsidRPr="00880DDE">
        <w:rPr>
          <w:rFonts w:cstheme="minorHAnsi"/>
        </w:rPr>
        <w:fldChar w:fldCharType="end"/>
      </w:r>
      <w:r w:rsidRPr="00880DDE">
        <w:rPr>
          <w:rFonts w:cstheme="minorHAnsi"/>
        </w:rPr>
        <w:t xml:space="preserve"> acknowledged that it is the management of human capital, rather than physical capital that is seen as the most important determinant of company performance. Therefore, sophisticated HRM practices do lead to organizational effectiveness.</w:t>
      </w:r>
      <w:r w:rsidR="00316AE3">
        <w:rPr>
          <w:rFonts w:cstheme="minorHAnsi"/>
        </w:rPr>
        <w:t xml:space="preserve"> Good organizational culture can lead to organizational health if increase engagement, innovation, empowerment, feedback without retribution, trust are practiced and valued </w:t>
      </w:r>
      <w:r w:rsidR="00307135">
        <w:rPr>
          <w:rFonts w:cstheme="minorHAnsi"/>
        </w:rPr>
        <w:fldChar w:fldCharType="begin"/>
      </w:r>
      <w:r w:rsidR="00307135">
        <w:rPr>
          <w:rFonts w:cstheme="minorHAnsi"/>
        </w:rPr>
        <w:instrText xml:space="preserve"> ADDIN ZOTERO_ITEM CSL_CITATION {"citationID":"xFXEAaIl","properties":{"formattedCitation":"(Mark Schmidt &amp; Rayan Slaughter, 2017)","plainCitation":"(Mark Schmidt &amp; Rayan Slaughter, 2017)","noteIndex":0},"citationItems":[{"id":590,"uris":["http://zotero.org/users/5075968/items/PNSIGS6Y"],"uri":["http://zotero.org/users/5075968/items/PNSIGS6Y"],"itemData":{"id":590,"type":"article-journal","abstract":"As the Department of Defense (DOD) transitions to a new administration, it will be accompanied by numerous editorials advocating for equipment modernization and changing our theater-specific postures.","container-title":"National Defense University Press","language":"en-US","title":"A Strategic Leader's Guide to Transforming Culture in Large Organizations","URL":"http://ndupress.ndu.edu/Media/News/News-Article-View/Article/1219704/a-strategic-leaders-guide-to-transforming-culture-in-large-organizations/","author":[{"literal":"Mark Schmidt"},{"literal":"Rayan Slaughter"}],"accessed":{"date-parts":[["2020",2,24]]},"issued":{"date-parts":[["2017",6]]}}}],"schema":"https://github.com/citation-style-language/schema/raw/master/csl-citation.json"} </w:instrText>
      </w:r>
      <w:r w:rsidR="00307135">
        <w:rPr>
          <w:rFonts w:cstheme="minorHAnsi"/>
        </w:rPr>
        <w:fldChar w:fldCharType="separate"/>
      </w:r>
      <w:r w:rsidR="00307135" w:rsidRPr="00307135">
        <w:rPr>
          <w:rFonts w:ascii="Calibri" w:hAnsi="Calibri" w:cs="Calibri"/>
        </w:rPr>
        <w:t>(Mark Schmidt &amp; Rayan Slaughter, 2017)</w:t>
      </w:r>
      <w:r w:rsidR="00307135">
        <w:rPr>
          <w:rFonts w:cstheme="minorHAnsi"/>
        </w:rPr>
        <w:fldChar w:fldCharType="end"/>
      </w:r>
      <w:r w:rsidR="00307135">
        <w:rPr>
          <w:rFonts w:cstheme="minorHAnsi"/>
        </w:rPr>
        <w:t>.</w:t>
      </w:r>
    </w:p>
    <w:p w14:paraId="0434410F" w14:textId="042106F4" w:rsidR="002D5901" w:rsidRDefault="0069590D" w:rsidP="000A7347">
      <w:pPr>
        <w:jc w:val="center"/>
        <w:rPr>
          <w:noProof/>
        </w:rPr>
      </w:pPr>
      <w:r w:rsidRPr="0069590D">
        <w:rPr>
          <w:rFonts w:ascii="Calibri" w:hAnsi="Calibri" w:cs="Calibri"/>
          <w:b/>
          <w:bCs/>
          <w:sz w:val="32"/>
          <w:szCs w:val="32"/>
          <w14:shadow w14:blurRad="50800" w14:dist="38100" w14:dir="8100000" w14:sx="100000" w14:sy="100000" w14:kx="0" w14:ky="0" w14:algn="tr">
            <w14:srgbClr w14:val="000000">
              <w14:alpha w14:val="60000"/>
            </w14:srgbClr>
          </w14:shadow>
        </w:rPr>
        <w:lastRenderedPageBreak/>
        <w:t>ORGANIZATIONAL CHART</w:t>
      </w:r>
      <w:r w:rsidR="00B93E2F">
        <w:rPr>
          <w:noProof/>
        </w:rPr>
        <w:drawing>
          <wp:inline distT="0" distB="0" distL="0" distR="0" wp14:anchorId="66437885" wp14:editId="3CFE5574">
            <wp:extent cx="5495925" cy="436245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5FA6655B" w14:textId="77777777" w:rsidR="000A7347" w:rsidRPr="000A7347" w:rsidRDefault="000A7347" w:rsidP="0092632F">
      <w:pPr>
        <w:jc w:val="both"/>
        <w:rPr>
          <w:noProof/>
        </w:rPr>
      </w:pPr>
    </w:p>
    <w:p w14:paraId="74306F9F" w14:textId="4C76CA1B" w:rsidR="0092632F" w:rsidRPr="002C40AA" w:rsidRDefault="0092632F" w:rsidP="0092632F">
      <w:pPr>
        <w:jc w:val="both"/>
        <w:rPr>
          <w:rFonts w:ascii="Calibri" w:hAnsi="Calibri" w:cs="Calibri"/>
          <w:b/>
          <w:bCs/>
        </w:rPr>
      </w:pPr>
      <w:r w:rsidRPr="002C40AA">
        <w:rPr>
          <w:rFonts w:ascii="Calibri" w:hAnsi="Calibri" w:cs="Calibri"/>
          <w:b/>
          <w:bCs/>
        </w:rPr>
        <w:t xml:space="preserve">Key </w:t>
      </w:r>
      <w:r w:rsidR="002C40AA">
        <w:rPr>
          <w:rFonts w:ascii="Calibri" w:hAnsi="Calibri" w:cs="Calibri"/>
          <w:b/>
          <w:bCs/>
        </w:rPr>
        <w:t xml:space="preserve">Personnel </w:t>
      </w:r>
      <w:r w:rsidRPr="002C40AA">
        <w:rPr>
          <w:rFonts w:ascii="Calibri" w:hAnsi="Calibri" w:cs="Calibri"/>
          <w:b/>
          <w:bCs/>
        </w:rPr>
        <w:t>Duties &amp; Responsibilities</w:t>
      </w:r>
    </w:p>
    <w:p w14:paraId="0137204D" w14:textId="77777777" w:rsidR="00C02E83" w:rsidRPr="00C02E83" w:rsidRDefault="00C02E83" w:rsidP="00C02E83">
      <w:pPr>
        <w:rPr>
          <w:rFonts w:ascii="Calibri" w:hAnsi="Calibri" w:cs="Calibri"/>
        </w:rPr>
      </w:pPr>
      <w:r>
        <w:rPr>
          <w:rFonts w:ascii="Calibri" w:hAnsi="Calibri" w:cs="Calibri"/>
        </w:rPr>
        <w:t>Administrative staff</w:t>
      </w:r>
      <w:r w:rsidRPr="00C02E83">
        <w:rPr>
          <w:rFonts w:ascii="Calibri" w:hAnsi="Calibri" w:cs="Calibri"/>
        </w:rPr>
        <w:t xml:space="preserve"> </w:t>
      </w:r>
    </w:p>
    <w:p w14:paraId="3ADECF10" w14:textId="5CB15AED" w:rsidR="00C02E83" w:rsidRPr="001E49A0" w:rsidRDefault="00C02E83" w:rsidP="00C02E83">
      <w:pPr>
        <w:numPr>
          <w:ilvl w:val="0"/>
          <w:numId w:val="2"/>
        </w:numPr>
        <w:spacing w:after="0" w:line="240" w:lineRule="auto"/>
        <w:rPr>
          <w:rFonts w:ascii="Calibri" w:hAnsi="Calibri" w:cs="Calibri"/>
        </w:rPr>
      </w:pPr>
      <w:r w:rsidRPr="001E49A0">
        <w:rPr>
          <w:rFonts w:ascii="Calibri" w:hAnsi="Calibri" w:cs="Calibri"/>
        </w:rPr>
        <w:t xml:space="preserve">Initial contact is made to the school via email to the principal and any other contact, such as Unit Coordinators, Occupational Therapist and Physical Therapist. </w:t>
      </w:r>
    </w:p>
    <w:p w14:paraId="10BA6F49" w14:textId="20F91F06" w:rsidR="00C02E83" w:rsidRPr="001E49A0" w:rsidRDefault="00C02E83" w:rsidP="00C02E83">
      <w:pPr>
        <w:numPr>
          <w:ilvl w:val="0"/>
          <w:numId w:val="2"/>
        </w:numPr>
        <w:spacing w:after="0" w:line="240" w:lineRule="auto"/>
        <w:rPr>
          <w:rFonts w:ascii="Calibri" w:hAnsi="Calibri" w:cs="Calibri"/>
        </w:rPr>
      </w:pPr>
      <w:r w:rsidRPr="001E49A0">
        <w:rPr>
          <w:rFonts w:ascii="Calibri" w:hAnsi="Calibri" w:cs="Calibri"/>
        </w:rPr>
        <w:t>The purpose of the visit is explained in the email and specifies the need for the therapist to be present for the visit.  Attached to the email is the parent</w:t>
      </w:r>
      <w:r w:rsidR="00880DDE">
        <w:rPr>
          <w:rFonts w:ascii="Calibri" w:hAnsi="Calibri" w:cs="Calibri"/>
        </w:rPr>
        <w:t>s’</w:t>
      </w:r>
      <w:r w:rsidRPr="001E49A0">
        <w:rPr>
          <w:rFonts w:ascii="Calibri" w:hAnsi="Calibri" w:cs="Calibri"/>
        </w:rPr>
        <w:t xml:space="preserve"> notification letter, principal protocol letter that explains the program in more detail, and pre-populated forms.  The email also instructs the principal to contact the scheduling coordinator to answer additional questions or concerns</w:t>
      </w:r>
    </w:p>
    <w:p w14:paraId="5B4BF39F" w14:textId="77777777" w:rsidR="00C02E83" w:rsidRPr="001E49A0" w:rsidRDefault="00C02E83" w:rsidP="00C02E83">
      <w:pPr>
        <w:numPr>
          <w:ilvl w:val="0"/>
          <w:numId w:val="2"/>
        </w:numPr>
        <w:spacing w:after="0" w:line="240" w:lineRule="auto"/>
        <w:rPr>
          <w:rFonts w:ascii="Calibri" w:hAnsi="Calibri" w:cs="Calibri"/>
        </w:rPr>
      </w:pPr>
      <w:r w:rsidRPr="001E49A0">
        <w:rPr>
          <w:rFonts w:ascii="Calibri" w:hAnsi="Calibri" w:cs="Calibri"/>
        </w:rPr>
        <w:t>The principal is asked to confirm the visit date noted in the body of the email and to identify a contact person that will assist with the logistics upon the physician’s arrival at the school.  A follow-up email is sent to confirm the visit.  Calls are made when no feedback is received from the principal or designee regarding the school visit.</w:t>
      </w:r>
    </w:p>
    <w:p w14:paraId="0BCE0C22" w14:textId="77777777" w:rsidR="00C02E83" w:rsidRPr="001E49A0" w:rsidRDefault="00C02E83" w:rsidP="00C02E83">
      <w:pPr>
        <w:numPr>
          <w:ilvl w:val="0"/>
          <w:numId w:val="2"/>
        </w:numPr>
        <w:spacing w:after="0" w:line="240" w:lineRule="auto"/>
        <w:rPr>
          <w:rFonts w:ascii="Calibri" w:hAnsi="Calibri" w:cs="Calibri"/>
        </w:rPr>
      </w:pPr>
      <w:r w:rsidRPr="001E49A0">
        <w:rPr>
          <w:rFonts w:ascii="Calibri" w:hAnsi="Calibri" w:cs="Calibri"/>
        </w:rPr>
        <w:t xml:space="preserve">The physicians are copied on the initial email to the principal regarding the visit and on any relevant email communication during the scheduling process.  </w:t>
      </w:r>
    </w:p>
    <w:p w14:paraId="7AB42101" w14:textId="77777777" w:rsidR="00C02E83" w:rsidRPr="001E49A0" w:rsidRDefault="00C02E83" w:rsidP="00C02E83">
      <w:pPr>
        <w:numPr>
          <w:ilvl w:val="0"/>
          <w:numId w:val="2"/>
        </w:numPr>
        <w:spacing w:after="0" w:line="240" w:lineRule="auto"/>
        <w:rPr>
          <w:rFonts w:ascii="Calibri" w:hAnsi="Calibri" w:cs="Calibri"/>
        </w:rPr>
      </w:pPr>
      <w:r w:rsidRPr="001E49A0">
        <w:rPr>
          <w:rFonts w:ascii="Calibri" w:hAnsi="Calibri" w:cs="Calibri"/>
        </w:rPr>
        <w:lastRenderedPageBreak/>
        <w:t xml:space="preserve">Physicians are emailed their </w:t>
      </w:r>
      <w:r>
        <w:rPr>
          <w:rFonts w:ascii="Calibri" w:hAnsi="Calibri" w:cs="Calibri"/>
        </w:rPr>
        <w:t xml:space="preserve">two-week </w:t>
      </w:r>
      <w:r w:rsidRPr="001E49A0">
        <w:rPr>
          <w:rFonts w:ascii="Calibri" w:hAnsi="Calibri" w:cs="Calibri"/>
        </w:rPr>
        <w:t>school assignments</w:t>
      </w:r>
      <w:r>
        <w:rPr>
          <w:rFonts w:ascii="Calibri" w:hAnsi="Calibri" w:cs="Calibri"/>
        </w:rPr>
        <w:t>, with two weeks advance notice</w:t>
      </w:r>
      <w:r w:rsidRPr="001E49A0">
        <w:rPr>
          <w:rFonts w:ascii="Calibri" w:hAnsi="Calibri" w:cs="Calibri"/>
        </w:rPr>
        <w:t xml:space="preserve">.  The email contains the designated contact person information or school principal information, including school address and the pre-populated forms.  </w:t>
      </w:r>
    </w:p>
    <w:p w14:paraId="6B632D74" w14:textId="4675C75D" w:rsidR="00C02E83" w:rsidRDefault="00C02E83" w:rsidP="00C02E83">
      <w:pPr>
        <w:numPr>
          <w:ilvl w:val="0"/>
          <w:numId w:val="2"/>
        </w:numPr>
        <w:spacing w:after="0" w:line="240" w:lineRule="auto"/>
        <w:rPr>
          <w:rFonts w:ascii="Calibri" w:hAnsi="Calibri" w:cs="Calibri"/>
        </w:rPr>
      </w:pPr>
      <w:r w:rsidRPr="001E49A0">
        <w:rPr>
          <w:rFonts w:ascii="Calibri" w:hAnsi="Calibri" w:cs="Calibri"/>
        </w:rPr>
        <w:t>At the completion of the school visit, the physician referral forms are given to the designated person for copying.  Copies are kept by the school and the originals are packaged for pickup by messenger and delivered to the OSH Office</w:t>
      </w:r>
      <w:r w:rsidR="002003AF">
        <w:rPr>
          <w:rFonts w:ascii="Calibri" w:hAnsi="Calibri" w:cs="Calibri"/>
        </w:rPr>
        <w:t>. The physician sort</w:t>
      </w:r>
      <w:r w:rsidR="00880DDE">
        <w:rPr>
          <w:rFonts w:ascii="Calibri" w:hAnsi="Calibri" w:cs="Calibri"/>
        </w:rPr>
        <w:t>s</w:t>
      </w:r>
      <w:r w:rsidR="002003AF">
        <w:rPr>
          <w:rFonts w:ascii="Calibri" w:hAnsi="Calibri" w:cs="Calibri"/>
        </w:rPr>
        <w:t xml:space="preserve"> the orders by service and documents the number of completed order for each service </w:t>
      </w:r>
      <w:r w:rsidR="002003AF" w:rsidRPr="008963E1">
        <w:rPr>
          <w:rFonts w:ascii="Calibri" w:hAnsi="Calibri" w:cs="Calibri"/>
        </w:rPr>
        <w:t xml:space="preserve">on </w:t>
      </w:r>
      <w:r w:rsidR="008963E1" w:rsidRPr="008963E1">
        <w:rPr>
          <w:rFonts w:ascii="Calibri" w:hAnsi="Calibri" w:cs="Calibri"/>
        </w:rPr>
        <w:t>a</w:t>
      </w:r>
      <w:r w:rsidR="002003AF" w:rsidRPr="008963E1">
        <w:rPr>
          <w:rFonts w:ascii="Calibri" w:hAnsi="Calibri" w:cs="Calibri"/>
        </w:rPr>
        <w:t xml:space="preserve"> post-it, </w:t>
      </w:r>
      <w:r w:rsidR="002003AF">
        <w:rPr>
          <w:rFonts w:ascii="Calibri" w:hAnsi="Calibri" w:cs="Calibri"/>
        </w:rPr>
        <w:t>which is included in the package to OSH.</w:t>
      </w:r>
    </w:p>
    <w:p w14:paraId="56D3B25A" w14:textId="77777777" w:rsidR="002003AF" w:rsidRPr="001E49A0" w:rsidRDefault="002003AF" w:rsidP="00C02E83">
      <w:pPr>
        <w:numPr>
          <w:ilvl w:val="0"/>
          <w:numId w:val="2"/>
        </w:numPr>
        <w:spacing w:after="0" w:line="240" w:lineRule="auto"/>
        <w:rPr>
          <w:rFonts w:ascii="Calibri" w:hAnsi="Calibri" w:cs="Calibri"/>
        </w:rPr>
      </w:pPr>
      <w:r>
        <w:rPr>
          <w:rFonts w:ascii="Calibri" w:hAnsi="Calibri" w:cs="Calibri"/>
        </w:rPr>
        <w:t>The physician informs their scheduler of the pick-up information and provides them with the number of absentees.</w:t>
      </w:r>
    </w:p>
    <w:p w14:paraId="126E003D" w14:textId="5A1F7642" w:rsidR="00C02E83" w:rsidRDefault="00C02E83" w:rsidP="00C02E83">
      <w:pPr>
        <w:numPr>
          <w:ilvl w:val="0"/>
          <w:numId w:val="2"/>
        </w:numPr>
        <w:spacing w:after="0" w:line="240" w:lineRule="auto"/>
        <w:rPr>
          <w:rFonts w:ascii="Calibri" w:hAnsi="Calibri" w:cs="Calibri"/>
        </w:rPr>
      </w:pPr>
      <w:r w:rsidRPr="001E49A0">
        <w:rPr>
          <w:rFonts w:ascii="Calibri" w:hAnsi="Calibri" w:cs="Calibri"/>
        </w:rPr>
        <w:t>Forms are received by OT</w:t>
      </w:r>
      <w:r w:rsidR="002003AF">
        <w:rPr>
          <w:rFonts w:ascii="Calibri" w:hAnsi="Calibri" w:cs="Calibri"/>
        </w:rPr>
        <w:t>/</w:t>
      </w:r>
      <w:r w:rsidRPr="001E49A0">
        <w:rPr>
          <w:rFonts w:ascii="Calibri" w:hAnsi="Calibri" w:cs="Calibri"/>
        </w:rPr>
        <w:t xml:space="preserve">PT program staff, counted, entered into </w:t>
      </w:r>
      <w:r w:rsidR="008E1FBD">
        <w:rPr>
          <w:rFonts w:ascii="Calibri" w:hAnsi="Calibri" w:cs="Calibri"/>
        </w:rPr>
        <w:t>(Automated Student Health Records (</w:t>
      </w:r>
      <w:r w:rsidRPr="001E49A0">
        <w:rPr>
          <w:rFonts w:ascii="Calibri" w:hAnsi="Calibri" w:cs="Calibri"/>
        </w:rPr>
        <w:t>ASHR</w:t>
      </w:r>
      <w:r w:rsidR="008E1FBD">
        <w:rPr>
          <w:rFonts w:ascii="Calibri" w:hAnsi="Calibri" w:cs="Calibri"/>
        </w:rPr>
        <w:t>)</w:t>
      </w:r>
      <w:r w:rsidRPr="001E49A0">
        <w:rPr>
          <w:rFonts w:ascii="Calibri" w:hAnsi="Calibri" w:cs="Calibri"/>
        </w:rPr>
        <w:t xml:space="preserve"> and filed by physician name and date order.</w:t>
      </w:r>
    </w:p>
    <w:p w14:paraId="210BD9F6" w14:textId="77777777" w:rsidR="00BB545B" w:rsidRDefault="00BB545B" w:rsidP="00BB545B">
      <w:pPr>
        <w:spacing w:after="0" w:line="240" w:lineRule="auto"/>
        <w:ind w:left="720"/>
        <w:rPr>
          <w:rFonts w:ascii="Calibri" w:hAnsi="Calibri" w:cs="Calibri"/>
        </w:rPr>
      </w:pPr>
    </w:p>
    <w:p w14:paraId="5EB575E0" w14:textId="77777777" w:rsidR="00BB545B" w:rsidRDefault="00BB545B" w:rsidP="00BB545B">
      <w:pPr>
        <w:spacing w:after="0" w:line="240" w:lineRule="auto"/>
        <w:rPr>
          <w:rFonts w:ascii="Calibri" w:hAnsi="Calibri" w:cs="Calibri"/>
        </w:rPr>
      </w:pPr>
      <w:r>
        <w:rPr>
          <w:rFonts w:ascii="Calibri" w:hAnsi="Calibri" w:cs="Calibri"/>
        </w:rPr>
        <w:t>Clinical Staff</w:t>
      </w:r>
    </w:p>
    <w:p w14:paraId="3C5BD038" w14:textId="1B211497" w:rsidR="004776BB" w:rsidRDefault="00BB545B" w:rsidP="00BB545B">
      <w:pPr>
        <w:spacing w:before="100" w:beforeAutospacing="1" w:after="100" w:afterAutospacing="1"/>
        <w:jc w:val="both"/>
        <w:rPr>
          <w:rFonts w:ascii="Calibri" w:hAnsi="Calibri" w:cs="Calibri"/>
        </w:rPr>
      </w:pPr>
      <w:r w:rsidRPr="001E49A0">
        <w:rPr>
          <w:rFonts w:ascii="Calibri" w:hAnsi="Calibri" w:cs="Calibri"/>
        </w:rPr>
        <w:t xml:space="preserve">The physicians </w:t>
      </w:r>
      <w:r w:rsidR="00271C04">
        <w:rPr>
          <w:rFonts w:ascii="Calibri" w:hAnsi="Calibri" w:cs="Calibri"/>
        </w:rPr>
        <w:t>are</w:t>
      </w:r>
      <w:r w:rsidRPr="00271C04">
        <w:rPr>
          <w:rFonts w:ascii="Calibri" w:hAnsi="Calibri" w:cs="Calibri"/>
          <w:color w:val="FF0000"/>
        </w:rPr>
        <w:t xml:space="preserve"> </w:t>
      </w:r>
      <w:r w:rsidRPr="001E49A0">
        <w:rPr>
          <w:rFonts w:ascii="Calibri" w:hAnsi="Calibri" w:cs="Calibri"/>
        </w:rPr>
        <w:t xml:space="preserve">responsible for reviewing each student’s chart, including past medical records, the student’s “Individualized Education Program” (IEP) and other relevant documents. The physician will interact with relevant school staff and briefly observe the student during a therapy session and/or within the classroom or school setting. If the physician determines that the service is “medically necessary,” the physician will then provide the required order to support the claim for Medicaid reimbursement. New York law defines “medically necessary medical, dental, and remedial care, services, and supplies” in the Medicaid program as those “necessary to prevent, diagnose, correct, or cure conditions in the person that cause acute suffering, endanger life, result in illness or infirmity, interfere with such person’s capacity for normal activity, or threaten some significant handicap and which are furnished an eligible person in accordance with state law (N.Y. Soc. Serv. Law, § 365-a). Additionally, the physician may make recommendations with respect to the ongoing provision of occupational or physical therapy to further the goals on the student’s IEP. </w:t>
      </w:r>
    </w:p>
    <w:p w14:paraId="6CE4453F" w14:textId="77777777" w:rsidR="0092632F" w:rsidRPr="0071127E" w:rsidRDefault="0092632F" w:rsidP="0092632F">
      <w:pPr>
        <w:jc w:val="both"/>
        <w:rPr>
          <w:rFonts w:ascii="Calibri" w:hAnsi="Calibri" w:cs="Calibri"/>
          <w:b/>
          <w:bCs/>
        </w:rPr>
      </w:pPr>
      <w:r w:rsidRPr="0071127E">
        <w:rPr>
          <w:rFonts w:ascii="Calibri" w:hAnsi="Calibri" w:cs="Calibri"/>
          <w:b/>
          <w:bCs/>
        </w:rPr>
        <w:t>Recommendations</w:t>
      </w:r>
    </w:p>
    <w:p w14:paraId="00ED4142" w14:textId="719E1BC7" w:rsidR="00180E67" w:rsidRPr="000A7347" w:rsidRDefault="0071127E" w:rsidP="000A7347">
      <w:pPr>
        <w:pStyle w:val="ListParagraph"/>
        <w:numPr>
          <w:ilvl w:val="0"/>
          <w:numId w:val="1"/>
        </w:numPr>
        <w:jc w:val="both"/>
        <w:rPr>
          <w:rFonts w:ascii="Calibri" w:hAnsi="Calibri" w:cs="Calibri"/>
        </w:rPr>
      </w:pPr>
      <w:r>
        <w:rPr>
          <w:rFonts w:ascii="Calibri" w:hAnsi="Calibri" w:cs="Calibri"/>
        </w:rPr>
        <w:t>The f</w:t>
      </w:r>
      <w:r w:rsidR="00A6651F">
        <w:rPr>
          <w:rFonts w:ascii="Calibri" w:hAnsi="Calibri" w:cs="Calibri"/>
        </w:rPr>
        <w:t>irst</w:t>
      </w:r>
      <w:r w:rsidR="004F0B7F">
        <w:rPr>
          <w:rFonts w:ascii="Calibri" w:hAnsi="Calibri" w:cs="Calibri"/>
        </w:rPr>
        <w:t xml:space="preserve"> recommend</w:t>
      </w:r>
      <w:r w:rsidR="00A6651F">
        <w:rPr>
          <w:rFonts w:ascii="Calibri" w:hAnsi="Calibri" w:cs="Calibri"/>
        </w:rPr>
        <w:t>ation is</w:t>
      </w:r>
      <w:r w:rsidR="004F0B7F">
        <w:rPr>
          <w:rFonts w:ascii="Calibri" w:hAnsi="Calibri" w:cs="Calibri"/>
        </w:rPr>
        <w:t xml:space="preserve"> </w:t>
      </w:r>
      <w:r w:rsidR="00271C04">
        <w:rPr>
          <w:rFonts w:ascii="Calibri" w:hAnsi="Calibri" w:cs="Calibri"/>
        </w:rPr>
        <w:t>to</w:t>
      </w:r>
      <w:r w:rsidR="004F0B7F">
        <w:rPr>
          <w:rFonts w:ascii="Calibri" w:hAnsi="Calibri" w:cs="Calibri"/>
        </w:rPr>
        <w:t xml:space="preserve"> increase the number of staff in this program</w:t>
      </w:r>
      <w:r w:rsidR="00D90E89">
        <w:rPr>
          <w:rFonts w:ascii="Calibri" w:hAnsi="Calibri" w:cs="Calibri"/>
        </w:rPr>
        <w:t xml:space="preserve"> by</w:t>
      </w:r>
      <w:r w:rsidR="004F0B7F">
        <w:rPr>
          <w:rFonts w:ascii="Calibri" w:hAnsi="Calibri" w:cs="Calibri"/>
        </w:rPr>
        <w:t xml:space="preserve"> two physicians and </w:t>
      </w:r>
      <w:r w:rsidR="00EC0873">
        <w:rPr>
          <w:rFonts w:ascii="Calibri" w:hAnsi="Calibri" w:cs="Calibri"/>
        </w:rPr>
        <w:t>two</w:t>
      </w:r>
      <w:r w:rsidR="00271C04">
        <w:rPr>
          <w:rFonts w:ascii="Calibri" w:hAnsi="Calibri" w:cs="Calibri"/>
        </w:rPr>
        <w:t xml:space="preserve"> </w:t>
      </w:r>
      <w:r w:rsidR="004F0B7F">
        <w:rPr>
          <w:rFonts w:ascii="Calibri" w:hAnsi="Calibri" w:cs="Calibri"/>
        </w:rPr>
        <w:t xml:space="preserve">administrative staff. The additional staff </w:t>
      </w:r>
      <w:r w:rsidR="00271C04">
        <w:rPr>
          <w:rFonts w:ascii="Calibri" w:hAnsi="Calibri" w:cs="Calibri"/>
        </w:rPr>
        <w:t>will</w:t>
      </w:r>
      <w:r w:rsidR="004F0B7F">
        <w:rPr>
          <w:rFonts w:ascii="Calibri" w:hAnsi="Calibri" w:cs="Calibri"/>
        </w:rPr>
        <w:t xml:space="preserve"> be utilized </w:t>
      </w:r>
      <w:r w:rsidR="007379C8">
        <w:rPr>
          <w:rFonts w:ascii="Calibri" w:hAnsi="Calibri" w:cs="Calibri"/>
        </w:rPr>
        <w:t xml:space="preserve">directly </w:t>
      </w:r>
      <w:r w:rsidR="004F0B7F">
        <w:rPr>
          <w:rFonts w:ascii="Calibri" w:hAnsi="Calibri" w:cs="Calibri"/>
        </w:rPr>
        <w:t xml:space="preserve">to address the absent students </w:t>
      </w:r>
      <w:r w:rsidR="0094073F">
        <w:rPr>
          <w:rFonts w:ascii="Calibri" w:hAnsi="Calibri" w:cs="Calibri"/>
        </w:rPr>
        <w:t>that</w:t>
      </w:r>
      <w:r w:rsidR="004F0B7F">
        <w:rPr>
          <w:rFonts w:ascii="Calibri" w:hAnsi="Calibri" w:cs="Calibri"/>
        </w:rPr>
        <w:t xml:space="preserve"> were not available on day of the physician</w:t>
      </w:r>
      <w:r w:rsidR="0094073F">
        <w:rPr>
          <w:rFonts w:ascii="Calibri" w:hAnsi="Calibri" w:cs="Calibri"/>
        </w:rPr>
        <w:t xml:space="preserve"> initial</w:t>
      </w:r>
      <w:r w:rsidR="004F0B7F">
        <w:rPr>
          <w:rFonts w:ascii="Calibri" w:hAnsi="Calibri" w:cs="Calibri"/>
        </w:rPr>
        <w:t xml:space="preserve"> visit</w:t>
      </w:r>
      <w:r w:rsidR="0094073F">
        <w:rPr>
          <w:rFonts w:ascii="Calibri" w:hAnsi="Calibri" w:cs="Calibri"/>
        </w:rPr>
        <w:t>(s)</w:t>
      </w:r>
      <w:r w:rsidR="00D601DD">
        <w:rPr>
          <w:rFonts w:ascii="Calibri" w:hAnsi="Calibri" w:cs="Calibri"/>
        </w:rPr>
        <w:t xml:space="preserve"> by visiting the affected schools</w:t>
      </w:r>
      <w:r w:rsidR="004F0B7F">
        <w:rPr>
          <w:rFonts w:ascii="Calibri" w:hAnsi="Calibri" w:cs="Calibri"/>
        </w:rPr>
        <w:t xml:space="preserve">. The administrative staff will be responsible for coordinating the scheduling of the physicians </w:t>
      </w:r>
      <w:r w:rsidR="00454842">
        <w:rPr>
          <w:rFonts w:ascii="Calibri" w:hAnsi="Calibri" w:cs="Calibri"/>
        </w:rPr>
        <w:t>with the school therapists</w:t>
      </w:r>
      <w:r w:rsidR="0007785D">
        <w:rPr>
          <w:rFonts w:ascii="Calibri" w:hAnsi="Calibri" w:cs="Calibri"/>
        </w:rPr>
        <w:t xml:space="preserve"> and enter the orders into ASHR</w:t>
      </w:r>
      <w:r w:rsidR="00454842">
        <w:rPr>
          <w:rFonts w:ascii="Calibri" w:hAnsi="Calibri" w:cs="Calibri"/>
        </w:rPr>
        <w:t>.</w:t>
      </w:r>
    </w:p>
    <w:p w14:paraId="441ACCDD" w14:textId="0A62874D" w:rsidR="00454842" w:rsidRDefault="00454842" w:rsidP="00180E67">
      <w:pPr>
        <w:ind w:left="360" w:firstLine="360"/>
        <w:jc w:val="both"/>
        <w:rPr>
          <w:rFonts w:ascii="Calibri" w:hAnsi="Calibri" w:cs="Calibri"/>
        </w:rPr>
      </w:pPr>
      <w:r>
        <w:rPr>
          <w:rFonts w:ascii="Calibri" w:hAnsi="Calibri" w:cs="Calibri"/>
        </w:rPr>
        <w:t>Cost Factor</w:t>
      </w:r>
    </w:p>
    <w:p w14:paraId="19712F69" w14:textId="438F120B" w:rsidR="00B97C4A" w:rsidRDefault="00C72877" w:rsidP="00954A82">
      <w:pPr>
        <w:ind w:left="720"/>
        <w:jc w:val="both"/>
        <w:rPr>
          <w:rFonts w:ascii="Calibri" w:hAnsi="Calibri" w:cs="Calibri"/>
        </w:rPr>
      </w:pPr>
      <w:r>
        <w:rPr>
          <w:rFonts w:ascii="Calibri" w:hAnsi="Calibri" w:cs="Calibri"/>
        </w:rPr>
        <w:t>Table 1</w:t>
      </w:r>
      <w:r w:rsidR="00B97C4A">
        <w:rPr>
          <w:rFonts w:ascii="Calibri" w:hAnsi="Calibri" w:cs="Calibri"/>
        </w:rPr>
        <w:tab/>
      </w:r>
    </w:p>
    <w:tbl>
      <w:tblPr>
        <w:tblW w:w="8288" w:type="dxa"/>
        <w:tblInd w:w="720" w:type="dxa"/>
        <w:tblLook w:val="04A0" w:firstRow="1" w:lastRow="0" w:firstColumn="1" w:lastColumn="0" w:noHBand="0" w:noVBand="1"/>
      </w:tblPr>
      <w:tblGrid>
        <w:gridCol w:w="1120"/>
        <w:gridCol w:w="960"/>
        <w:gridCol w:w="960"/>
        <w:gridCol w:w="960"/>
        <w:gridCol w:w="1054"/>
        <w:gridCol w:w="960"/>
        <w:gridCol w:w="1220"/>
        <w:gridCol w:w="1054"/>
      </w:tblGrid>
      <w:tr w:rsidR="00B97C4A" w:rsidRPr="00B97C4A" w14:paraId="5E972ECA" w14:textId="77777777" w:rsidTr="00B97C4A">
        <w:trPr>
          <w:trHeight w:val="315"/>
        </w:trPr>
        <w:tc>
          <w:tcPr>
            <w:tcW w:w="1120" w:type="dxa"/>
            <w:tcBorders>
              <w:top w:val="single" w:sz="8" w:space="0" w:color="auto"/>
              <w:left w:val="nil"/>
              <w:bottom w:val="single" w:sz="8" w:space="0" w:color="auto"/>
              <w:right w:val="nil"/>
            </w:tcBorders>
            <w:shd w:val="clear" w:color="000000" w:fill="FCE4D6"/>
            <w:noWrap/>
            <w:vAlign w:val="center"/>
            <w:hideMark/>
          </w:tcPr>
          <w:p w14:paraId="26349056"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 xml:space="preserve">Title </w:t>
            </w:r>
          </w:p>
        </w:tc>
        <w:tc>
          <w:tcPr>
            <w:tcW w:w="960" w:type="dxa"/>
            <w:tcBorders>
              <w:top w:val="single" w:sz="8" w:space="0" w:color="auto"/>
              <w:left w:val="nil"/>
              <w:bottom w:val="single" w:sz="8" w:space="0" w:color="auto"/>
              <w:right w:val="nil"/>
            </w:tcBorders>
            <w:shd w:val="clear" w:color="000000" w:fill="FCE4D6"/>
            <w:noWrap/>
            <w:vAlign w:val="center"/>
            <w:hideMark/>
          </w:tcPr>
          <w:p w14:paraId="4991E7C4"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Unit</w:t>
            </w:r>
          </w:p>
        </w:tc>
        <w:tc>
          <w:tcPr>
            <w:tcW w:w="960" w:type="dxa"/>
            <w:tcBorders>
              <w:top w:val="single" w:sz="8" w:space="0" w:color="auto"/>
              <w:left w:val="nil"/>
              <w:bottom w:val="single" w:sz="8" w:space="0" w:color="auto"/>
              <w:right w:val="nil"/>
            </w:tcBorders>
            <w:shd w:val="clear" w:color="000000" w:fill="FCE4D6"/>
            <w:noWrap/>
            <w:vAlign w:val="center"/>
            <w:hideMark/>
          </w:tcPr>
          <w:p w14:paraId="7D7530B4"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 xml:space="preserve">Type </w:t>
            </w:r>
          </w:p>
        </w:tc>
        <w:tc>
          <w:tcPr>
            <w:tcW w:w="960" w:type="dxa"/>
            <w:tcBorders>
              <w:top w:val="single" w:sz="8" w:space="0" w:color="auto"/>
              <w:left w:val="nil"/>
              <w:bottom w:val="single" w:sz="8" w:space="0" w:color="auto"/>
              <w:right w:val="nil"/>
            </w:tcBorders>
            <w:shd w:val="clear" w:color="000000" w:fill="FCE4D6"/>
            <w:noWrap/>
            <w:vAlign w:val="center"/>
            <w:hideMark/>
          </w:tcPr>
          <w:p w14:paraId="13DA55D1"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Hours</w:t>
            </w:r>
          </w:p>
        </w:tc>
        <w:tc>
          <w:tcPr>
            <w:tcW w:w="1054" w:type="dxa"/>
            <w:tcBorders>
              <w:top w:val="single" w:sz="8" w:space="0" w:color="auto"/>
              <w:left w:val="nil"/>
              <w:bottom w:val="single" w:sz="8" w:space="0" w:color="auto"/>
              <w:right w:val="nil"/>
            </w:tcBorders>
            <w:shd w:val="clear" w:color="000000" w:fill="FCE4D6"/>
            <w:noWrap/>
            <w:vAlign w:val="center"/>
            <w:hideMark/>
          </w:tcPr>
          <w:p w14:paraId="3A1AE01C"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Salary</w:t>
            </w:r>
          </w:p>
        </w:tc>
        <w:tc>
          <w:tcPr>
            <w:tcW w:w="960" w:type="dxa"/>
            <w:tcBorders>
              <w:top w:val="single" w:sz="8" w:space="0" w:color="auto"/>
              <w:left w:val="nil"/>
              <w:bottom w:val="single" w:sz="8" w:space="0" w:color="auto"/>
              <w:right w:val="nil"/>
            </w:tcBorders>
            <w:shd w:val="clear" w:color="000000" w:fill="FCE4D6"/>
            <w:noWrap/>
            <w:vAlign w:val="center"/>
            <w:hideMark/>
          </w:tcPr>
          <w:p w14:paraId="341459F4"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Fringe Rate</w:t>
            </w:r>
          </w:p>
        </w:tc>
        <w:tc>
          <w:tcPr>
            <w:tcW w:w="1220" w:type="dxa"/>
            <w:tcBorders>
              <w:top w:val="single" w:sz="8" w:space="0" w:color="auto"/>
              <w:left w:val="nil"/>
              <w:bottom w:val="single" w:sz="8" w:space="0" w:color="auto"/>
              <w:right w:val="nil"/>
            </w:tcBorders>
            <w:shd w:val="clear" w:color="000000" w:fill="FCE4D6"/>
            <w:noWrap/>
            <w:vAlign w:val="center"/>
            <w:hideMark/>
          </w:tcPr>
          <w:p w14:paraId="0BCBBFEF"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Fringe</w:t>
            </w:r>
          </w:p>
        </w:tc>
        <w:tc>
          <w:tcPr>
            <w:tcW w:w="1054" w:type="dxa"/>
            <w:tcBorders>
              <w:top w:val="single" w:sz="8" w:space="0" w:color="auto"/>
              <w:left w:val="nil"/>
              <w:bottom w:val="single" w:sz="8" w:space="0" w:color="auto"/>
              <w:right w:val="nil"/>
            </w:tcBorders>
            <w:shd w:val="clear" w:color="000000" w:fill="FCE4D6"/>
            <w:noWrap/>
            <w:vAlign w:val="center"/>
            <w:hideMark/>
          </w:tcPr>
          <w:p w14:paraId="228EE295"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Total Cost</w:t>
            </w:r>
          </w:p>
        </w:tc>
      </w:tr>
      <w:tr w:rsidR="00B97C4A" w:rsidRPr="00B97C4A" w14:paraId="70843066" w14:textId="77777777" w:rsidTr="00B97C4A">
        <w:trPr>
          <w:trHeight w:val="300"/>
        </w:trPr>
        <w:tc>
          <w:tcPr>
            <w:tcW w:w="1120" w:type="dxa"/>
            <w:tcBorders>
              <w:top w:val="nil"/>
              <w:left w:val="nil"/>
              <w:bottom w:val="nil"/>
              <w:right w:val="nil"/>
            </w:tcBorders>
            <w:shd w:val="clear" w:color="auto" w:fill="auto"/>
            <w:noWrap/>
            <w:vAlign w:val="center"/>
            <w:hideMark/>
          </w:tcPr>
          <w:p w14:paraId="68EAF238" w14:textId="77777777" w:rsidR="00B97C4A" w:rsidRPr="00B97C4A" w:rsidRDefault="00B97C4A" w:rsidP="00B97C4A">
            <w:pPr>
              <w:spacing w:after="0" w:line="240" w:lineRule="auto"/>
              <w:rPr>
                <w:rFonts w:ascii="Calibri" w:eastAsia="Times New Roman" w:hAnsi="Calibri" w:cs="Calibri"/>
                <w:color w:val="000000"/>
              </w:rPr>
            </w:pPr>
            <w:r w:rsidRPr="00B97C4A">
              <w:rPr>
                <w:rFonts w:ascii="Calibri" w:eastAsia="Times New Roman" w:hAnsi="Calibri" w:cs="Calibri"/>
                <w:color w:val="000000"/>
              </w:rPr>
              <w:t xml:space="preserve">Physician </w:t>
            </w:r>
          </w:p>
        </w:tc>
        <w:tc>
          <w:tcPr>
            <w:tcW w:w="960" w:type="dxa"/>
            <w:tcBorders>
              <w:top w:val="nil"/>
              <w:left w:val="nil"/>
              <w:bottom w:val="nil"/>
              <w:right w:val="nil"/>
            </w:tcBorders>
            <w:shd w:val="clear" w:color="auto" w:fill="auto"/>
            <w:noWrap/>
            <w:vAlign w:val="center"/>
            <w:hideMark/>
          </w:tcPr>
          <w:p w14:paraId="185B2B55" w14:textId="77777777" w:rsidR="00B97C4A" w:rsidRPr="00B97C4A" w:rsidRDefault="00B97C4A" w:rsidP="00B97C4A">
            <w:pPr>
              <w:spacing w:after="0" w:line="240" w:lineRule="auto"/>
              <w:jc w:val="center"/>
              <w:rPr>
                <w:rFonts w:ascii="Calibri" w:eastAsia="Times New Roman" w:hAnsi="Calibri" w:cs="Calibri"/>
                <w:color w:val="000000"/>
              </w:rPr>
            </w:pPr>
            <w:r w:rsidRPr="00B97C4A">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center"/>
            <w:hideMark/>
          </w:tcPr>
          <w:p w14:paraId="7C9A1F50" w14:textId="77777777" w:rsidR="00B97C4A" w:rsidRPr="00B97C4A" w:rsidRDefault="00B97C4A" w:rsidP="00B97C4A">
            <w:pPr>
              <w:spacing w:after="0" w:line="240" w:lineRule="auto"/>
              <w:jc w:val="center"/>
              <w:rPr>
                <w:rFonts w:ascii="Calibri" w:eastAsia="Times New Roman" w:hAnsi="Calibri" w:cs="Calibri"/>
                <w:color w:val="000000"/>
              </w:rPr>
            </w:pPr>
            <w:r w:rsidRPr="00B97C4A">
              <w:rPr>
                <w:rFonts w:ascii="Calibri" w:eastAsia="Times New Roman" w:hAnsi="Calibri" w:cs="Calibri"/>
                <w:color w:val="000000"/>
              </w:rPr>
              <w:t>79/hour</w:t>
            </w:r>
          </w:p>
        </w:tc>
        <w:tc>
          <w:tcPr>
            <w:tcW w:w="960" w:type="dxa"/>
            <w:tcBorders>
              <w:top w:val="nil"/>
              <w:left w:val="nil"/>
              <w:bottom w:val="nil"/>
              <w:right w:val="nil"/>
            </w:tcBorders>
            <w:shd w:val="clear" w:color="auto" w:fill="auto"/>
            <w:noWrap/>
            <w:vAlign w:val="center"/>
            <w:hideMark/>
          </w:tcPr>
          <w:p w14:paraId="3FB02C2F" w14:textId="77777777" w:rsidR="00B97C4A" w:rsidRPr="00B97C4A" w:rsidRDefault="00B97C4A" w:rsidP="00B97C4A">
            <w:pPr>
              <w:spacing w:after="0" w:line="240" w:lineRule="auto"/>
              <w:jc w:val="center"/>
              <w:rPr>
                <w:rFonts w:ascii="Calibri" w:eastAsia="Times New Roman" w:hAnsi="Calibri" w:cs="Calibri"/>
                <w:color w:val="000000"/>
              </w:rPr>
            </w:pPr>
            <w:r w:rsidRPr="00B97C4A">
              <w:rPr>
                <w:rFonts w:ascii="Calibri" w:eastAsia="Times New Roman" w:hAnsi="Calibri" w:cs="Calibri"/>
                <w:color w:val="000000"/>
              </w:rPr>
              <w:t>1,300</w:t>
            </w:r>
          </w:p>
        </w:tc>
        <w:tc>
          <w:tcPr>
            <w:tcW w:w="1054" w:type="dxa"/>
            <w:tcBorders>
              <w:top w:val="nil"/>
              <w:left w:val="nil"/>
              <w:bottom w:val="nil"/>
              <w:right w:val="nil"/>
            </w:tcBorders>
            <w:shd w:val="clear" w:color="auto" w:fill="auto"/>
            <w:noWrap/>
            <w:vAlign w:val="center"/>
            <w:hideMark/>
          </w:tcPr>
          <w:p w14:paraId="649BE51B" w14:textId="77777777" w:rsidR="00B97C4A" w:rsidRPr="00B97C4A" w:rsidRDefault="00B97C4A" w:rsidP="00B97C4A">
            <w:pPr>
              <w:spacing w:after="0" w:line="240" w:lineRule="auto"/>
              <w:jc w:val="center"/>
              <w:rPr>
                <w:rFonts w:ascii="Calibri" w:eastAsia="Times New Roman" w:hAnsi="Calibri" w:cs="Calibri"/>
                <w:color w:val="000000"/>
              </w:rPr>
            </w:pPr>
            <w:r w:rsidRPr="00B97C4A">
              <w:rPr>
                <w:rFonts w:ascii="Calibri" w:eastAsia="Times New Roman" w:hAnsi="Calibri" w:cs="Calibri"/>
                <w:color w:val="000000"/>
              </w:rPr>
              <w:t xml:space="preserve">$205,400 </w:t>
            </w:r>
          </w:p>
        </w:tc>
        <w:tc>
          <w:tcPr>
            <w:tcW w:w="960" w:type="dxa"/>
            <w:tcBorders>
              <w:top w:val="nil"/>
              <w:left w:val="nil"/>
              <w:bottom w:val="nil"/>
              <w:right w:val="nil"/>
            </w:tcBorders>
            <w:shd w:val="clear" w:color="auto" w:fill="auto"/>
            <w:noWrap/>
            <w:vAlign w:val="center"/>
            <w:hideMark/>
          </w:tcPr>
          <w:p w14:paraId="4BB13B70" w14:textId="77777777" w:rsidR="00B97C4A" w:rsidRPr="00B97C4A" w:rsidRDefault="00B97C4A" w:rsidP="00B97C4A">
            <w:pPr>
              <w:spacing w:after="0" w:line="240" w:lineRule="auto"/>
              <w:jc w:val="center"/>
              <w:rPr>
                <w:rFonts w:ascii="Calibri" w:eastAsia="Times New Roman" w:hAnsi="Calibri" w:cs="Calibri"/>
                <w:color w:val="000000"/>
              </w:rPr>
            </w:pPr>
            <w:r w:rsidRPr="00B97C4A">
              <w:rPr>
                <w:rFonts w:ascii="Calibri" w:eastAsia="Times New Roman" w:hAnsi="Calibri" w:cs="Calibri"/>
                <w:color w:val="000000"/>
              </w:rPr>
              <w:t>37%</w:t>
            </w:r>
          </w:p>
        </w:tc>
        <w:tc>
          <w:tcPr>
            <w:tcW w:w="1220" w:type="dxa"/>
            <w:tcBorders>
              <w:top w:val="nil"/>
              <w:left w:val="nil"/>
              <w:bottom w:val="nil"/>
              <w:right w:val="nil"/>
            </w:tcBorders>
            <w:shd w:val="clear" w:color="auto" w:fill="auto"/>
            <w:noWrap/>
            <w:vAlign w:val="center"/>
            <w:hideMark/>
          </w:tcPr>
          <w:p w14:paraId="6942107A" w14:textId="77777777" w:rsidR="00B97C4A" w:rsidRPr="00B97C4A" w:rsidRDefault="00B97C4A" w:rsidP="00B97C4A">
            <w:pPr>
              <w:spacing w:after="0" w:line="240" w:lineRule="auto"/>
              <w:jc w:val="center"/>
              <w:rPr>
                <w:rFonts w:ascii="Calibri" w:eastAsia="Times New Roman" w:hAnsi="Calibri" w:cs="Calibri"/>
                <w:color w:val="000000"/>
              </w:rPr>
            </w:pPr>
            <w:r w:rsidRPr="00B97C4A">
              <w:rPr>
                <w:rFonts w:ascii="Calibri" w:eastAsia="Times New Roman" w:hAnsi="Calibri" w:cs="Calibri"/>
                <w:color w:val="000000"/>
              </w:rPr>
              <w:t xml:space="preserve">$75,998 </w:t>
            </w:r>
          </w:p>
        </w:tc>
        <w:tc>
          <w:tcPr>
            <w:tcW w:w="1054" w:type="dxa"/>
            <w:tcBorders>
              <w:top w:val="nil"/>
              <w:left w:val="nil"/>
              <w:bottom w:val="nil"/>
              <w:right w:val="nil"/>
            </w:tcBorders>
            <w:shd w:val="clear" w:color="auto" w:fill="auto"/>
            <w:noWrap/>
            <w:vAlign w:val="center"/>
            <w:hideMark/>
          </w:tcPr>
          <w:p w14:paraId="267EFB87" w14:textId="77777777" w:rsidR="00B97C4A" w:rsidRPr="00B97C4A" w:rsidRDefault="00B97C4A" w:rsidP="00B97C4A">
            <w:pPr>
              <w:spacing w:after="0" w:line="240" w:lineRule="auto"/>
              <w:jc w:val="center"/>
              <w:rPr>
                <w:rFonts w:ascii="Calibri" w:eastAsia="Times New Roman" w:hAnsi="Calibri" w:cs="Calibri"/>
                <w:color w:val="000000"/>
              </w:rPr>
            </w:pPr>
            <w:r w:rsidRPr="00B97C4A">
              <w:rPr>
                <w:rFonts w:ascii="Calibri" w:eastAsia="Times New Roman" w:hAnsi="Calibri" w:cs="Calibri"/>
                <w:color w:val="000000"/>
              </w:rPr>
              <w:t xml:space="preserve">$281,398 </w:t>
            </w:r>
          </w:p>
        </w:tc>
      </w:tr>
      <w:tr w:rsidR="00B97C4A" w:rsidRPr="00B97C4A" w14:paraId="781B5844" w14:textId="77777777" w:rsidTr="00B97C4A">
        <w:trPr>
          <w:trHeight w:val="300"/>
        </w:trPr>
        <w:tc>
          <w:tcPr>
            <w:tcW w:w="1120" w:type="dxa"/>
            <w:tcBorders>
              <w:top w:val="nil"/>
              <w:left w:val="nil"/>
              <w:bottom w:val="nil"/>
              <w:right w:val="nil"/>
            </w:tcBorders>
            <w:shd w:val="clear" w:color="auto" w:fill="auto"/>
            <w:noWrap/>
            <w:vAlign w:val="center"/>
            <w:hideMark/>
          </w:tcPr>
          <w:p w14:paraId="1A41A867" w14:textId="77777777" w:rsidR="00B97C4A" w:rsidRPr="00B97C4A" w:rsidRDefault="00B97C4A" w:rsidP="00B97C4A">
            <w:pPr>
              <w:spacing w:after="0" w:line="240" w:lineRule="auto"/>
              <w:rPr>
                <w:rFonts w:ascii="Calibri" w:eastAsia="Times New Roman" w:hAnsi="Calibri" w:cs="Calibri"/>
                <w:color w:val="000000"/>
              </w:rPr>
            </w:pPr>
            <w:r w:rsidRPr="00B97C4A">
              <w:rPr>
                <w:rFonts w:ascii="Calibri" w:eastAsia="Times New Roman" w:hAnsi="Calibri" w:cs="Calibri"/>
                <w:color w:val="000000"/>
              </w:rPr>
              <w:t>Admin. staff</w:t>
            </w:r>
          </w:p>
        </w:tc>
        <w:tc>
          <w:tcPr>
            <w:tcW w:w="960" w:type="dxa"/>
            <w:tcBorders>
              <w:top w:val="nil"/>
              <w:left w:val="nil"/>
              <w:bottom w:val="nil"/>
              <w:right w:val="nil"/>
            </w:tcBorders>
            <w:shd w:val="clear" w:color="auto" w:fill="auto"/>
            <w:noWrap/>
            <w:vAlign w:val="center"/>
            <w:hideMark/>
          </w:tcPr>
          <w:p w14:paraId="63E627E5" w14:textId="2DB069D7" w:rsidR="00B97C4A" w:rsidRPr="00B97C4A" w:rsidRDefault="00EC0873" w:rsidP="00B97C4A">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center"/>
            <w:hideMark/>
          </w:tcPr>
          <w:p w14:paraId="0F956A0A" w14:textId="77777777" w:rsidR="00B97C4A" w:rsidRPr="00B97C4A" w:rsidRDefault="00B97C4A" w:rsidP="00B97C4A">
            <w:pPr>
              <w:spacing w:after="0" w:line="240" w:lineRule="auto"/>
              <w:rPr>
                <w:rFonts w:ascii="Calibri" w:eastAsia="Times New Roman" w:hAnsi="Calibri" w:cs="Calibri"/>
                <w:color w:val="000000"/>
              </w:rPr>
            </w:pPr>
            <w:r w:rsidRPr="00B97C4A">
              <w:rPr>
                <w:rFonts w:ascii="Calibri" w:eastAsia="Times New Roman" w:hAnsi="Calibri" w:cs="Calibri"/>
                <w:color w:val="000000"/>
              </w:rPr>
              <w:t>Annual</w:t>
            </w:r>
          </w:p>
        </w:tc>
        <w:tc>
          <w:tcPr>
            <w:tcW w:w="960" w:type="dxa"/>
            <w:tcBorders>
              <w:top w:val="nil"/>
              <w:left w:val="nil"/>
              <w:bottom w:val="nil"/>
              <w:right w:val="nil"/>
            </w:tcBorders>
            <w:shd w:val="clear" w:color="auto" w:fill="auto"/>
            <w:noWrap/>
            <w:vAlign w:val="center"/>
            <w:hideMark/>
          </w:tcPr>
          <w:p w14:paraId="7211C00C" w14:textId="77777777" w:rsidR="00B97C4A" w:rsidRPr="00B97C4A" w:rsidRDefault="00B97C4A" w:rsidP="00B97C4A">
            <w:pPr>
              <w:spacing w:after="0" w:line="240" w:lineRule="auto"/>
              <w:rPr>
                <w:rFonts w:ascii="Calibri" w:eastAsia="Times New Roman" w:hAnsi="Calibri" w:cs="Calibri"/>
                <w:color w:val="000000"/>
              </w:rPr>
            </w:pPr>
            <w:r w:rsidRPr="00B97C4A">
              <w:rPr>
                <w:rFonts w:ascii="Calibri" w:eastAsia="Times New Roman" w:hAnsi="Calibri" w:cs="Calibri"/>
                <w:color w:val="000000"/>
              </w:rPr>
              <w:t>N/A</w:t>
            </w:r>
          </w:p>
        </w:tc>
        <w:tc>
          <w:tcPr>
            <w:tcW w:w="1054" w:type="dxa"/>
            <w:tcBorders>
              <w:top w:val="nil"/>
              <w:left w:val="nil"/>
              <w:bottom w:val="nil"/>
              <w:right w:val="nil"/>
            </w:tcBorders>
            <w:shd w:val="clear" w:color="auto" w:fill="auto"/>
            <w:noWrap/>
            <w:vAlign w:val="center"/>
            <w:hideMark/>
          </w:tcPr>
          <w:p w14:paraId="2E0171F7" w14:textId="152979F5" w:rsidR="00B97C4A" w:rsidRPr="00B97C4A" w:rsidRDefault="00EC0873" w:rsidP="00B97C4A">
            <w:pPr>
              <w:spacing w:after="0" w:line="240" w:lineRule="auto"/>
              <w:jc w:val="right"/>
              <w:rPr>
                <w:rFonts w:ascii="Calibri" w:eastAsia="Times New Roman" w:hAnsi="Calibri" w:cs="Calibri"/>
                <w:color w:val="000000"/>
              </w:rPr>
            </w:pPr>
            <w:r>
              <w:rPr>
                <w:rFonts w:ascii="Calibri" w:eastAsia="Times New Roman" w:hAnsi="Calibri" w:cs="Calibri"/>
                <w:color w:val="000000"/>
              </w:rPr>
              <w:t>$110</w:t>
            </w:r>
            <w:r w:rsidR="00B97C4A" w:rsidRPr="00B97C4A">
              <w:rPr>
                <w:rFonts w:ascii="Calibri" w:eastAsia="Times New Roman" w:hAnsi="Calibri" w:cs="Calibri"/>
                <w:color w:val="000000"/>
              </w:rPr>
              <w:t xml:space="preserve">,000 </w:t>
            </w:r>
          </w:p>
        </w:tc>
        <w:tc>
          <w:tcPr>
            <w:tcW w:w="960" w:type="dxa"/>
            <w:tcBorders>
              <w:top w:val="nil"/>
              <w:left w:val="nil"/>
              <w:bottom w:val="nil"/>
              <w:right w:val="nil"/>
            </w:tcBorders>
            <w:shd w:val="clear" w:color="auto" w:fill="auto"/>
            <w:noWrap/>
            <w:vAlign w:val="center"/>
            <w:hideMark/>
          </w:tcPr>
          <w:p w14:paraId="087DCFE6" w14:textId="77777777" w:rsidR="00B97C4A" w:rsidRPr="00B97C4A" w:rsidRDefault="00B97C4A" w:rsidP="00B97C4A">
            <w:pPr>
              <w:spacing w:after="0" w:line="240" w:lineRule="auto"/>
              <w:jc w:val="center"/>
              <w:rPr>
                <w:rFonts w:ascii="Calibri" w:eastAsia="Times New Roman" w:hAnsi="Calibri" w:cs="Calibri"/>
                <w:color w:val="000000"/>
              </w:rPr>
            </w:pPr>
            <w:r w:rsidRPr="00B97C4A">
              <w:rPr>
                <w:rFonts w:ascii="Calibri" w:eastAsia="Times New Roman" w:hAnsi="Calibri" w:cs="Calibri"/>
                <w:color w:val="000000"/>
              </w:rPr>
              <w:t>37%</w:t>
            </w:r>
          </w:p>
        </w:tc>
        <w:tc>
          <w:tcPr>
            <w:tcW w:w="1220" w:type="dxa"/>
            <w:tcBorders>
              <w:top w:val="nil"/>
              <w:left w:val="nil"/>
              <w:bottom w:val="nil"/>
              <w:right w:val="nil"/>
            </w:tcBorders>
            <w:shd w:val="clear" w:color="auto" w:fill="auto"/>
            <w:noWrap/>
            <w:vAlign w:val="center"/>
            <w:hideMark/>
          </w:tcPr>
          <w:p w14:paraId="5D9D62C0" w14:textId="796BC299" w:rsidR="00B97C4A" w:rsidRPr="00B97C4A" w:rsidRDefault="00EC0873" w:rsidP="00B97C4A">
            <w:pPr>
              <w:spacing w:after="0" w:line="240" w:lineRule="auto"/>
              <w:jc w:val="center"/>
              <w:rPr>
                <w:rFonts w:ascii="Calibri" w:eastAsia="Times New Roman" w:hAnsi="Calibri" w:cs="Calibri"/>
                <w:color w:val="000000"/>
              </w:rPr>
            </w:pPr>
            <w:r>
              <w:rPr>
                <w:rFonts w:ascii="Calibri" w:eastAsia="Times New Roman" w:hAnsi="Calibri" w:cs="Calibri"/>
                <w:color w:val="000000"/>
              </w:rPr>
              <w:t>$40,7</w:t>
            </w:r>
            <w:r w:rsidR="00B97C4A" w:rsidRPr="00B97C4A">
              <w:rPr>
                <w:rFonts w:ascii="Calibri" w:eastAsia="Times New Roman" w:hAnsi="Calibri" w:cs="Calibri"/>
                <w:color w:val="000000"/>
              </w:rPr>
              <w:t xml:space="preserve">00 </w:t>
            </w:r>
          </w:p>
        </w:tc>
        <w:tc>
          <w:tcPr>
            <w:tcW w:w="1054" w:type="dxa"/>
            <w:tcBorders>
              <w:top w:val="nil"/>
              <w:left w:val="nil"/>
              <w:bottom w:val="nil"/>
              <w:right w:val="nil"/>
            </w:tcBorders>
            <w:shd w:val="clear" w:color="auto" w:fill="auto"/>
            <w:noWrap/>
            <w:vAlign w:val="center"/>
            <w:hideMark/>
          </w:tcPr>
          <w:p w14:paraId="79E2426D" w14:textId="34B7C2FF" w:rsidR="00B97C4A" w:rsidRPr="00B97C4A" w:rsidRDefault="00EC0873" w:rsidP="00B97C4A">
            <w:pPr>
              <w:spacing w:after="0" w:line="240" w:lineRule="auto"/>
              <w:jc w:val="center"/>
              <w:rPr>
                <w:rFonts w:ascii="Calibri" w:eastAsia="Times New Roman" w:hAnsi="Calibri" w:cs="Calibri"/>
                <w:color w:val="000000"/>
              </w:rPr>
            </w:pPr>
            <w:r>
              <w:rPr>
                <w:rFonts w:ascii="Calibri" w:eastAsia="Times New Roman" w:hAnsi="Calibri" w:cs="Calibri"/>
                <w:color w:val="000000"/>
              </w:rPr>
              <w:t>$150,7</w:t>
            </w:r>
            <w:r w:rsidR="00B97C4A" w:rsidRPr="00B97C4A">
              <w:rPr>
                <w:rFonts w:ascii="Calibri" w:eastAsia="Times New Roman" w:hAnsi="Calibri" w:cs="Calibri"/>
                <w:color w:val="000000"/>
              </w:rPr>
              <w:t xml:space="preserve">00 </w:t>
            </w:r>
          </w:p>
        </w:tc>
      </w:tr>
      <w:tr w:rsidR="00B97C4A" w:rsidRPr="00B97C4A" w14:paraId="1679F26C" w14:textId="77777777" w:rsidTr="00B97C4A">
        <w:trPr>
          <w:trHeight w:val="315"/>
        </w:trPr>
        <w:tc>
          <w:tcPr>
            <w:tcW w:w="1120" w:type="dxa"/>
            <w:tcBorders>
              <w:top w:val="nil"/>
              <w:left w:val="nil"/>
              <w:bottom w:val="single" w:sz="8" w:space="0" w:color="auto"/>
              <w:right w:val="nil"/>
            </w:tcBorders>
            <w:shd w:val="clear" w:color="000000" w:fill="FCE4D6"/>
            <w:noWrap/>
            <w:vAlign w:val="center"/>
            <w:hideMark/>
          </w:tcPr>
          <w:p w14:paraId="4C160E88" w14:textId="77777777" w:rsidR="00B97C4A" w:rsidRPr="00B97C4A" w:rsidRDefault="00B97C4A" w:rsidP="00B97C4A">
            <w:pPr>
              <w:spacing w:after="0" w:line="240" w:lineRule="auto"/>
              <w:rPr>
                <w:rFonts w:ascii="Calibri" w:eastAsia="Times New Roman" w:hAnsi="Calibri" w:cs="Calibri"/>
                <w:b/>
                <w:bCs/>
                <w:color w:val="000000"/>
              </w:rPr>
            </w:pPr>
            <w:r w:rsidRPr="00B97C4A">
              <w:rPr>
                <w:rFonts w:ascii="Calibri" w:eastAsia="Times New Roman" w:hAnsi="Calibri" w:cs="Calibri"/>
                <w:b/>
                <w:bCs/>
                <w:color w:val="000000"/>
              </w:rPr>
              <w:t xml:space="preserve">Total </w:t>
            </w:r>
          </w:p>
        </w:tc>
        <w:tc>
          <w:tcPr>
            <w:tcW w:w="960" w:type="dxa"/>
            <w:tcBorders>
              <w:top w:val="nil"/>
              <w:left w:val="nil"/>
              <w:bottom w:val="single" w:sz="8" w:space="0" w:color="auto"/>
              <w:right w:val="nil"/>
            </w:tcBorders>
            <w:shd w:val="clear" w:color="000000" w:fill="FCE4D6"/>
            <w:noWrap/>
            <w:vAlign w:val="center"/>
            <w:hideMark/>
          </w:tcPr>
          <w:p w14:paraId="05384B8E" w14:textId="6599596F" w:rsidR="00B97C4A" w:rsidRPr="00B97C4A" w:rsidRDefault="00EC0873" w:rsidP="00B97C4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4</w:t>
            </w:r>
          </w:p>
        </w:tc>
        <w:tc>
          <w:tcPr>
            <w:tcW w:w="960" w:type="dxa"/>
            <w:tcBorders>
              <w:top w:val="nil"/>
              <w:left w:val="nil"/>
              <w:bottom w:val="single" w:sz="8" w:space="0" w:color="auto"/>
              <w:right w:val="nil"/>
            </w:tcBorders>
            <w:shd w:val="clear" w:color="000000" w:fill="FCE4D6"/>
            <w:noWrap/>
            <w:vAlign w:val="center"/>
            <w:hideMark/>
          </w:tcPr>
          <w:p w14:paraId="5BB73963"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 </w:t>
            </w:r>
          </w:p>
        </w:tc>
        <w:tc>
          <w:tcPr>
            <w:tcW w:w="960" w:type="dxa"/>
            <w:tcBorders>
              <w:top w:val="nil"/>
              <w:left w:val="nil"/>
              <w:bottom w:val="single" w:sz="8" w:space="0" w:color="auto"/>
              <w:right w:val="nil"/>
            </w:tcBorders>
            <w:shd w:val="clear" w:color="000000" w:fill="FCE4D6"/>
            <w:noWrap/>
            <w:vAlign w:val="center"/>
            <w:hideMark/>
          </w:tcPr>
          <w:p w14:paraId="1F216AA7"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 </w:t>
            </w:r>
          </w:p>
        </w:tc>
        <w:tc>
          <w:tcPr>
            <w:tcW w:w="1054" w:type="dxa"/>
            <w:tcBorders>
              <w:top w:val="nil"/>
              <w:left w:val="nil"/>
              <w:bottom w:val="single" w:sz="8" w:space="0" w:color="auto"/>
              <w:right w:val="nil"/>
            </w:tcBorders>
            <w:shd w:val="clear" w:color="000000" w:fill="FCE4D6"/>
            <w:noWrap/>
            <w:vAlign w:val="center"/>
            <w:hideMark/>
          </w:tcPr>
          <w:p w14:paraId="60053A6B" w14:textId="420958A3" w:rsidR="00B97C4A" w:rsidRPr="00B97C4A" w:rsidRDefault="00EC0873" w:rsidP="00B97C4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$31</w:t>
            </w:r>
            <w:r w:rsidR="00B97C4A" w:rsidRPr="00B97C4A">
              <w:rPr>
                <w:rFonts w:ascii="Calibri" w:eastAsia="Times New Roman" w:hAnsi="Calibri" w:cs="Calibri"/>
                <w:b/>
                <w:bCs/>
                <w:color w:val="000000"/>
              </w:rPr>
              <w:t xml:space="preserve">5,400 </w:t>
            </w:r>
          </w:p>
        </w:tc>
        <w:tc>
          <w:tcPr>
            <w:tcW w:w="960" w:type="dxa"/>
            <w:tcBorders>
              <w:top w:val="nil"/>
              <w:left w:val="nil"/>
              <w:bottom w:val="single" w:sz="8" w:space="0" w:color="auto"/>
              <w:right w:val="nil"/>
            </w:tcBorders>
            <w:shd w:val="clear" w:color="000000" w:fill="FCE4D6"/>
            <w:noWrap/>
            <w:vAlign w:val="center"/>
            <w:hideMark/>
          </w:tcPr>
          <w:p w14:paraId="439F0C16"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 </w:t>
            </w:r>
          </w:p>
        </w:tc>
        <w:tc>
          <w:tcPr>
            <w:tcW w:w="1220" w:type="dxa"/>
            <w:tcBorders>
              <w:top w:val="nil"/>
              <w:left w:val="nil"/>
              <w:bottom w:val="single" w:sz="8" w:space="0" w:color="auto"/>
              <w:right w:val="nil"/>
            </w:tcBorders>
            <w:shd w:val="clear" w:color="000000" w:fill="FCE4D6"/>
            <w:noWrap/>
            <w:vAlign w:val="center"/>
            <w:hideMark/>
          </w:tcPr>
          <w:p w14:paraId="479F9370" w14:textId="4A30B18B" w:rsidR="00B97C4A" w:rsidRPr="00B97C4A" w:rsidRDefault="00EC0873" w:rsidP="00B97C4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$116,6</w:t>
            </w:r>
            <w:r w:rsidR="00B97C4A" w:rsidRPr="00B97C4A">
              <w:rPr>
                <w:rFonts w:ascii="Calibri" w:eastAsia="Times New Roman" w:hAnsi="Calibri" w:cs="Calibri"/>
                <w:b/>
                <w:bCs/>
                <w:color w:val="000000"/>
              </w:rPr>
              <w:t xml:space="preserve">98 </w:t>
            </w:r>
          </w:p>
        </w:tc>
        <w:tc>
          <w:tcPr>
            <w:tcW w:w="1054" w:type="dxa"/>
            <w:tcBorders>
              <w:top w:val="nil"/>
              <w:left w:val="nil"/>
              <w:bottom w:val="single" w:sz="8" w:space="0" w:color="auto"/>
              <w:right w:val="nil"/>
            </w:tcBorders>
            <w:shd w:val="clear" w:color="000000" w:fill="FCE4D6"/>
            <w:noWrap/>
            <w:vAlign w:val="center"/>
            <w:hideMark/>
          </w:tcPr>
          <w:p w14:paraId="4FE81BA9" w14:textId="48F6DFBE" w:rsidR="00B97C4A" w:rsidRPr="00B97C4A" w:rsidRDefault="00EC0873" w:rsidP="00B97C4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$432,0</w:t>
            </w:r>
            <w:r w:rsidR="00B97C4A" w:rsidRPr="00B97C4A">
              <w:rPr>
                <w:rFonts w:ascii="Calibri" w:eastAsia="Times New Roman" w:hAnsi="Calibri" w:cs="Calibri"/>
                <w:b/>
                <w:bCs/>
                <w:color w:val="000000"/>
              </w:rPr>
              <w:t xml:space="preserve">98 </w:t>
            </w:r>
          </w:p>
        </w:tc>
      </w:tr>
    </w:tbl>
    <w:p w14:paraId="44BDFB68" w14:textId="672BE15A" w:rsidR="004F0B7F" w:rsidRDefault="004F0B7F" w:rsidP="007379C8">
      <w:pPr>
        <w:jc w:val="both"/>
        <w:rPr>
          <w:rFonts w:ascii="Calibri" w:hAnsi="Calibri" w:cs="Calibri"/>
        </w:rPr>
      </w:pPr>
    </w:p>
    <w:p w14:paraId="47629016" w14:textId="17CFB6D1" w:rsidR="007379C8" w:rsidRPr="00E73A8B" w:rsidRDefault="007379C8" w:rsidP="007379C8">
      <w:pPr>
        <w:jc w:val="both"/>
        <w:rPr>
          <w:rFonts w:ascii="Calibri" w:hAnsi="Calibri" w:cs="Calibri"/>
          <w:color w:val="FF0000"/>
        </w:rPr>
      </w:pPr>
      <w:r>
        <w:rPr>
          <w:rFonts w:ascii="Calibri" w:hAnsi="Calibri" w:cs="Calibri"/>
        </w:rPr>
        <w:lastRenderedPageBreak/>
        <w:t>Table</w:t>
      </w:r>
      <w:r w:rsidR="00F24B7B">
        <w:rPr>
          <w:rFonts w:ascii="Calibri" w:hAnsi="Calibri" w:cs="Calibri"/>
        </w:rPr>
        <w:t xml:space="preserve"> 1 above</w:t>
      </w:r>
      <w:r>
        <w:rPr>
          <w:rFonts w:ascii="Calibri" w:hAnsi="Calibri" w:cs="Calibri"/>
        </w:rPr>
        <w:t xml:space="preserve"> shows total </w:t>
      </w:r>
      <w:r w:rsidR="00DA799C">
        <w:rPr>
          <w:rFonts w:ascii="Calibri" w:hAnsi="Calibri" w:cs="Calibri"/>
        </w:rPr>
        <w:t>Personnel Spending (</w:t>
      </w:r>
      <w:r>
        <w:rPr>
          <w:rFonts w:ascii="Calibri" w:hAnsi="Calibri" w:cs="Calibri"/>
        </w:rPr>
        <w:t>PS</w:t>
      </w:r>
      <w:r w:rsidR="00DA799C">
        <w:rPr>
          <w:rFonts w:ascii="Calibri" w:hAnsi="Calibri" w:cs="Calibri"/>
        </w:rPr>
        <w:t>)</w:t>
      </w:r>
      <w:r>
        <w:rPr>
          <w:rFonts w:ascii="Calibri" w:hAnsi="Calibri" w:cs="Calibri"/>
        </w:rPr>
        <w:t xml:space="preserve"> cost of $</w:t>
      </w:r>
      <w:r w:rsidR="00871043">
        <w:rPr>
          <w:rFonts w:ascii="Calibri" w:hAnsi="Calibri" w:cs="Calibri"/>
        </w:rPr>
        <w:t>432,098</w:t>
      </w:r>
      <w:r>
        <w:rPr>
          <w:rFonts w:ascii="Calibri" w:hAnsi="Calibri" w:cs="Calibri"/>
        </w:rPr>
        <w:t xml:space="preserve"> to increase the program </w:t>
      </w:r>
      <w:r w:rsidR="00CB7BB3">
        <w:rPr>
          <w:rFonts w:ascii="Calibri" w:hAnsi="Calibri" w:cs="Calibri"/>
        </w:rPr>
        <w:t>staffing with 2 physicians and two</w:t>
      </w:r>
      <w:r>
        <w:rPr>
          <w:rFonts w:ascii="Calibri" w:hAnsi="Calibri" w:cs="Calibri"/>
        </w:rPr>
        <w:t xml:space="preserve"> administrative staff including fringe benefits to address the problem of students without orders</w:t>
      </w:r>
      <w:r w:rsidR="004C220B">
        <w:rPr>
          <w:rFonts w:ascii="Calibri" w:hAnsi="Calibri" w:cs="Calibri"/>
        </w:rPr>
        <w:t xml:space="preserve"> due to absences or small orders at some schools</w:t>
      </w:r>
      <w:r>
        <w:rPr>
          <w:rFonts w:ascii="Calibri" w:hAnsi="Calibri" w:cs="Calibri"/>
        </w:rPr>
        <w:t xml:space="preserve">. </w:t>
      </w:r>
      <w:r w:rsidR="00895B1C">
        <w:rPr>
          <w:rFonts w:ascii="Calibri" w:hAnsi="Calibri" w:cs="Calibri"/>
        </w:rPr>
        <w:t xml:space="preserve">The return on this investment </w:t>
      </w:r>
      <w:r w:rsidR="00B74909">
        <w:rPr>
          <w:rFonts w:ascii="Calibri" w:hAnsi="Calibri" w:cs="Calibri"/>
        </w:rPr>
        <w:t xml:space="preserve">would yield </w:t>
      </w:r>
      <w:r w:rsidR="009524D2">
        <w:rPr>
          <w:rFonts w:ascii="Calibri" w:hAnsi="Calibri" w:cs="Calibri"/>
        </w:rPr>
        <w:t xml:space="preserve">approximately </w:t>
      </w:r>
      <w:r w:rsidR="00895B1C">
        <w:rPr>
          <w:rFonts w:ascii="Calibri" w:hAnsi="Calibri" w:cs="Calibri"/>
        </w:rPr>
        <w:t>$4 million (th</w:t>
      </w:r>
      <w:r w:rsidR="00BA3641">
        <w:rPr>
          <w:rFonts w:ascii="Calibri" w:hAnsi="Calibri" w:cs="Calibri"/>
        </w:rPr>
        <w:t>is</w:t>
      </w:r>
      <w:r w:rsidR="00895B1C">
        <w:rPr>
          <w:rFonts w:ascii="Calibri" w:hAnsi="Calibri" w:cs="Calibri"/>
        </w:rPr>
        <w:t xml:space="preserve"> figure was previously </w:t>
      </w:r>
      <w:r w:rsidR="00BA3641">
        <w:rPr>
          <w:rFonts w:ascii="Calibri" w:hAnsi="Calibri" w:cs="Calibri"/>
        </w:rPr>
        <w:t>referenced</w:t>
      </w:r>
      <w:r w:rsidR="00895B1C">
        <w:rPr>
          <w:rFonts w:ascii="Calibri" w:hAnsi="Calibri" w:cs="Calibri"/>
        </w:rPr>
        <w:t>).</w:t>
      </w:r>
      <w:r w:rsidR="00E92AED">
        <w:rPr>
          <w:rFonts w:ascii="Calibri" w:hAnsi="Calibri" w:cs="Calibri"/>
        </w:rPr>
        <w:t xml:space="preserve"> </w:t>
      </w:r>
    </w:p>
    <w:p w14:paraId="2B3E6486" w14:textId="546702CB" w:rsidR="007379C8" w:rsidRDefault="007379C8" w:rsidP="007379C8">
      <w:pPr>
        <w:jc w:val="both"/>
        <w:rPr>
          <w:rFonts w:ascii="Calibri" w:hAnsi="Calibri" w:cs="Calibri"/>
        </w:rPr>
      </w:pPr>
      <w:r>
        <w:rPr>
          <w:rFonts w:ascii="Calibri" w:hAnsi="Calibri" w:cs="Calibri"/>
        </w:rPr>
        <w:t>With reference to</w:t>
      </w:r>
      <w:r w:rsidR="00E01C06">
        <w:rPr>
          <w:rFonts w:ascii="Calibri" w:hAnsi="Calibri" w:cs="Calibri"/>
        </w:rPr>
        <w:t xml:space="preserve"> Other Than Personal Services (</w:t>
      </w:r>
      <w:r>
        <w:rPr>
          <w:rFonts w:ascii="Calibri" w:hAnsi="Calibri" w:cs="Calibri"/>
        </w:rPr>
        <w:t>OTPS</w:t>
      </w:r>
      <w:r w:rsidR="00E01C06">
        <w:rPr>
          <w:rFonts w:ascii="Calibri" w:hAnsi="Calibri" w:cs="Calibri"/>
        </w:rPr>
        <w:t>)</w:t>
      </w:r>
      <w:r>
        <w:rPr>
          <w:rFonts w:ascii="Calibri" w:hAnsi="Calibri" w:cs="Calibri"/>
        </w:rPr>
        <w:t xml:space="preserve">, this cost will be minimal as seating and equipment </w:t>
      </w:r>
      <w:r w:rsidR="00F01229">
        <w:rPr>
          <w:rFonts w:ascii="Calibri" w:hAnsi="Calibri" w:cs="Calibri"/>
        </w:rPr>
        <w:t xml:space="preserve">are most like </w:t>
      </w:r>
      <w:r>
        <w:rPr>
          <w:rFonts w:ascii="Calibri" w:hAnsi="Calibri" w:cs="Calibri"/>
        </w:rPr>
        <w:t xml:space="preserve">available within the Office of Health Services. </w:t>
      </w:r>
      <w:r w:rsidR="00F01229">
        <w:rPr>
          <w:rFonts w:ascii="Calibri" w:hAnsi="Calibri" w:cs="Calibri"/>
        </w:rPr>
        <w:t>Orientation and training are done in</w:t>
      </w:r>
      <w:r w:rsidR="00490D67">
        <w:rPr>
          <w:rFonts w:ascii="Calibri" w:hAnsi="Calibri" w:cs="Calibri"/>
        </w:rPr>
        <w:t>-</w:t>
      </w:r>
      <w:r w:rsidR="00F01229">
        <w:rPr>
          <w:rFonts w:ascii="Calibri" w:hAnsi="Calibri" w:cs="Calibri"/>
        </w:rPr>
        <w:t>house.</w:t>
      </w:r>
    </w:p>
    <w:p w14:paraId="13A33BEE" w14:textId="438ADB76" w:rsidR="00F01229" w:rsidRDefault="00EC17A2" w:rsidP="00F01229">
      <w:pPr>
        <w:pStyle w:val="ListParagraph"/>
        <w:numPr>
          <w:ilvl w:val="0"/>
          <w:numId w:val="1"/>
        </w:numPr>
        <w:jc w:val="both"/>
        <w:rPr>
          <w:rFonts w:ascii="Calibri" w:hAnsi="Calibri" w:cs="Calibri"/>
        </w:rPr>
      </w:pPr>
      <w:r>
        <w:rPr>
          <w:rFonts w:ascii="Calibri" w:hAnsi="Calibri" w:cs="Calibri"/>
        </w:rPr>
        <w:t>The s</w:t>
      </w:r>
      <w:r w:rsidR="00A72675">
        <w:rPr>
          <w:rFonts w:ascii="Calibri" w:hAnsi="Calibri" w:cs="Calibri"/>
        </w:rPr>
        <w:t xml:space="preserve">econd recommendation is </w:t>
      </w:r>
      <w:r>
        <w:rPr>
          <w:rFonts w:ascii="Calibri" w:hAnsi="Calibri" w:cs="Calibri"/>
        </w:rPr>
        <w:t>an</w:t>
      </w:r>
      <w:r w:rsidR="00A72675">
        <w:rPr>
          <w:rFonts w:ascii="Calibri" w:hAnsi="Calibri" w:cs="Calibri"/>
        </w:rPr>
        <w:t xml:space="preserve"> increase </w:t>
      </w:r>
      <w:r>
        <w:rPr>
          <w:rFonts w:ascii="Calibri" w:hAnsi="Calibri" w:cs="Calibri"/>
        </w:rPr>
        <w:t xml:space="preserve">in PS to </w:t>
      </w:r>
      <w:r w:rsidR="00A72675">
        <w:rPr>
          <w:rFonts w:ascii="Calibri" w:hAnsi="Calibri" w:cs="Calibri"/>
        </w:rPr>
        <w:t xml:space="preserve">the program by 1 physician and 1 administrative staff as a pilot to address this problem and later employ </w:t>
      </w:r>
      <w:r w:rsidR="00BC3AE8">
        <w:rPr>
          <w:rFonts w:ascii="Calibri" w:hAnsi="Calibri" w:cs="Calibri"/>
        </w:rPr>
        <w:t>additional</w:t>
      </w:r>
      <w:r w:rsidR="00A72675">
        <w:rPr>
          <w:rFonts w:ascii="Calibri" w:hAnsi="Calibri" w:cs="Calibri"/>
        </w:rPr>
        <w:t xml:space="preserve"> physician</w:t>
      </w:r>
      <w:r w:rsidR="00BC3AE8">
        <w:rPr>
          <w:rFonts w:ascii="Calibri" w:hAnsi="Calibri" w:cs="Calibri"/>
        </w:rPr>
        <w:t>s</w:t>
      </w:r>
      <w:r>
        <w:rPr>
          <w:rFonts w:ascii="Calibri" w:hAnsi="Calibri" w:cs="Calibri"/>
        </w:rPr>
        <w:t xml:space="preserve"> as the need </w:t>
      </w:r>
      <w:r w:rsidR="00E547C1">
        <w:rPr>
          <w:rFonts w:ascii="Calibri" w:hAnsi="Calibri" w:cs="Calibri"/>
        </w:rPr>
        <w:t>arise</w:t>
      </w:r>
      <w:r w:rsidR="00A72675">
        <w:rPr>
          <w:rFonts w:ascii="Calibri" w:hAnsi="Calibri" w:cs="Calibri"/>
        </w:rPr>
        <w:t>. Table</w:t>
      </w:r>
      <w:r w:rsidR="00E547C1">
        <w:rPr>
          <w:rFonts w:ascii="Calibri" w:hAnsi="Calibri" w:cs="Calibri"/>
        </w:rPr>
        <w:t xml:space="preserve"> 2</w:t>
      </w:r>
      <w:r w:rsidR="00A72675">
        <w:rPr>
          <w:rFonts w:ascii="Calibri" w:hAnsi="Calibri" w:cs="Calibri"/>
        </w:rPr>
        <w:t xml:space="preserve"> below shows the cost factor for this option.</w:t>
      </w:r>
      <w:r w:rsidR="00E92AED">
        <w:rPr>
          <w:rFonts w:ascii="Calibri" w:hAnsi="Calibri" w:cs="Calibri"/>
        </w:rPr>
        <w:t xml:space="preserve"> </w:t>
      </w:r>
    </w:p>
    <w:p w14:paraId="783EC55E" w14:textId="77777777" w:rsidR="00850838" w:rsidRDefault="00850838" w:rsidP="00850838">
      <w:pPr>
        <w:pStyle w:val="ListParagraph"/>
        <w:jc w:val="both"/>
        <w:rPr>
          <w:rFonts w:ascii="Calibri" w:hAnsi="Calibri" w:cs="Calibri"/>
        </w:rPr>
      </w:pPr>
    </w:p>
    <w:p w14:paraId="1B2691ED" w14:textId="77777777" w:rsidR="00F01229" w:rsidRDefault="00E03D93" w:rsidP="00F01229">
      <w:pPr>
        <w:jc w:val="both"/>
        <w:rPr>
          <w:rFonts w:ascii="Calibri" w:hAnsi="Calibri" w:cs="Calibri"/>
        </w:rPr>
      </w:pPr>
      <w:r>
        <w:rPr>
          <w:rFonts w:ascii="Calibri" w:hAnsi="Calibri" w:cs="Calibri"/>
        </w:rPr>
        <w:t>Cost Factor</w:t>
      </w:r>
    </w:p>
    <w:p w14:paraId="31B8DE6E" w14:textId="77777777" w:rsidR="00F01229" w:rsidRPr="00F01229" w:rsidRDefault="00C72877" w:rsidP="00C72877">
      <w:pPr>
        <w:ind w:left="720"/>
        <w:jc w:val="both"/>
        <w:rPr>
          <w:rFonts w:ascii="Calibri" w:hAnsi="Calibri" w:cs="Calibri"/>
        </w:rPr>
      </w:pPr>
      <w:r>
        <w:rPr>
          <w:rFonts w:ascii="Calibri" w:hAnsi="Calibri" w:cs="Calibri"/>
        </w:rPr>
        <w:t>Table 2</w:t>
      </w:r>
    </w:p>
    <w:tbl>
      <w:tblPr>
        <w:tblW w:w="8288" w:type="dxa"/>
        <w:tblInd w:w="540" w:type="dxa"/>
        <w:tblLook w:val="04A0" w:firstRow="1" w:lastRow="0" w:firstColumn="1" w:lastColumn="0" w:noHBand="0" w:noVBand="1"/>
      </w:tblPr>
      <w:tblGrid>
        <w:gridCol w:w="1120"/>
        <w:gridCol w:w="960"/>
        <w:gridCol w:w="960"/>
        <w:gridCol w:w="960"/>
        <w:gridCol w:w="1054"/>
        <w:gridCol w:w="960"/>
        <w:gridCol w:w="1220"/>
        <w:gridCol w:w="1054"/>
      </w:tblGrid>
      <w:tr w:rsidR="00B97C4A" w:rsidRPr="00B97C4A" w14:paraId="17A7D84B" w14:textId="77777777" w:rsidTr="00B97C4A">
        <w:trPr>
          <w:trHeight w:val="315"/>
        </w:trPr>
        <w:tc>
          <w:tcPr>
            <w:tcW w:w="1120" w:type="dxa"/>
            <w:tcBorders>
              <w:top w:val="single" w:sz="8" w:space="0" w:color="auto"/>
              <w:left w:val="nil"/>
              <w:bottom w:val="single" w:sz="8" w:space="0" w:color="auto"/>
              <w:right w:val="nil"/>
            </w:tcBorders>
            <w:shd w:val="clear" w:color="000000" w:fill="FCE4D6"/>
            <w:noWrap/>
            <w:vAlign w:val="center"/>
            <w:hideMark/>
          </w:tcPr>
          <w:p w14:paraId="7AF4D5DE"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 xml:space="preserve">Title </w:t>
            </w:r>
          </w:p>
        </w:tc>
        <w:tc>
          <w:tcPr>
            <w:tcW w:w="960" w:type="dxa"/>
            <w:tcBorders>
              <w:top w:val="single" w:sz="8" w:space="0" w:color="auto"/>
              <w:left w:val="nil"/>
              <w:bottom w:val="single" w:sz="8" w:space="0" w:color="auto"/>
              <w:right w:val="nil"/>
            </w:tcBorders>
            <w:shd w:val="clear" w:color="000000" w:fill="FCE4D6"/>
            <w:noWrap/>
            <w:vAlign w:val="center"/>
            <w:hideMark/>
          </w:tcPr>
          <w:p w14:paraId="1DBDABD9"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Unit</w:t>
            </w:r>
          </w:p>
        </w:tc>
        <w:tc>
          <w:tcPr>
            <w:tcW w:w="960" w:type="dxa"/>
            <w:tcBorders>
              <w:top w:val="single" w:sz="8" w:space="0" w:color="auto"/>
              <w:left w:val="nil"/>
              <w:bottom w:val="single" w:sz="8" w:space="0" w:color="auto"/>
              <w:right w:val="nil"/>
            </w:tcBorders>
            <w:shd w:val="clear" w:color="000000" w:fill="FCE4D6"/>
            <w:noWrap/>
            <w:vAlign w:val="center"/>
            <w:hideMark/>
          </w:tcPr>
          <w:p w14:paraId="10766399"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 xml:space="preserve">Type </w:t>
            </w:r>
          </w:p>
        </w:tc>
        <w:tc>
          <w:tcPr>
            <w:tcW w:w="960" w:type="dxa"/>
            <w:tcBorders>
              <w:top w:val="single" w:sz="8" w:space="0" w:color="auto"/>
              <w:left w:val="nil"/>
              <w:bottom w:val="single" w:sz="8" w:space="0" w:color="auto"/>
              <w:right w:val="nil"/>
            </w:tcBorders>
            <w:shd w:val="clear" w:color="000000" w:fill="FCE4D6"/>
            <w:noWrap/>
            <w:vAlign w:val="center"/>
            <w:hideMark/>
          </w:tcPr>
          <w:p w14:paraId="28D7AE2A"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Hours</w:t>
            </w:r>
          </w:p>
        </w:tc>
        <w:tc>
          <w:tcPr>
            <w:tcW w:w="1054" w:type="dxa"/>
            <w:tcBorders>
              <w:top w:val="single" w:sz="8" w:space="0" w:color="auto"/>
              <w:left w:val="nil"/>
              <w:bottom w:val="single" w:sz="8" w:space="0" w:color="auto"/>
              <w:right w:val="nil"/>
            </w:tcBorders>
            <w:shd w:val="clear" w:color="000000" w:fill="FCE4D6"/>
            <w:noWrap/>
            <w:vAlign w:val="center"/>
            <w:hideMark/>
          </w:tcPr>
          <w:p w14:paraId="754142F8"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Salary</w:t>
            </w:r>
          </w:p>
        </w:tc>
        <w:tc>
          <w:tcPr>
            <w:tcW w:w="960" w:type="dxa"/>
            <w:tcBorders>
              <w:top w:val="single" w:sz="8" w:space="0" w:color="auto"/>
              <w:left w:val="nil"/>
              <w:bottom w:val="single" w:sz="8" w:space="0" w:color="auto"/>
              <w:right w:val="nil"/>
            </w:tcBorders>
            <w:shd w:val="clear" w:color="000000" w:fill="FCE4D6"/>
            <w:noWrap/>
            <w:vAlign w:val="center"/>
            <w:hideMark/>
          </w:tcPr>
          <w:p w14:paraId="63B30965"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Fringe Rate</w:t>
            </w:r>
          </w:p>
        </w:tc>
        <w:tc>
          <w:tcPr>
            <w:tcW w:w="1220" w:type="dxa"/>
            <w:tcBorders>
              <w:top w:val="single" w:sz="8" w:space="0" w:color="auto"/>
              <w:left w:val="nil"/>
              <w:bottom w:val="single" w:sz="8" w:space="0" w:color="auto"/>
              <w:right w:val="nil"/>
            </w:tcBorders>
            <w:shd w:val="clear" w:color="000000" w:fill="FCE4D6"/>
            <w:noWrap/>
            <w:vAlign w:val="center"/>
            <w:hideMark/>
          </w:tcPr>
          <w:p w14:paraId="667C57B5"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Fringe</w:t>
            </w:r>
          </w:p>
        </w:tc>
        <w:tc>
          <w:tcPr>
            <w:tcW w:w="1054" w:type="dxa"/>
            <w:tcBorders>
              <w:top w:val="single" w:sz="8" w:space="0" w:color="auto"/>
              <w:left w:val="nil"/>
              <w:bottom w:val="single" w:sz="8" w:space="0" w:color="auto"/>
              <w:right w:val="nil"/>
            </w:tcBorders>
            <w:shd w:val="clear" w:color="000000" w:fill="FCE4D6"/>
            <w:noWrap/>
            <w:vAlign w:val="center"/>
            <w:hideMark/>
          </w:tcPr>
          <w:p w14:paraId="4B3DA9CC"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Total Cost</w:t>
            </w:r>
          </w:p>
        </w:tc>
      </w:tr>
      <w:tr w:rsidR="00B97C4A" w:rsidRPr="00B97C4A" w14:paraId="533B53CF" w14:textId="77777777" w:rsidTr="00B97C4A">
        <w:trPr>
          <w:trHeight w:val="300"/>
        </w:trPr>
        <w:tc>
          <w:tcPr>
            <w:tcW w:w="1120" w:type="dxa"/>
            <w:tcBorders>
              <w:top w:val="nil"/>
              <w:left w:val="nil"/>
              <w:bottom w:val="nil"/>
              <w:right w:val="nil"/>
            </w:tcBorders>
            <w:shd w:val="clear" w:color="auto" w:fill="auto"/>
            <w:noWrap/>
            <w:vAlign w:val="center"/>
            <w:hideMark/>
          </w:tcPr>
          <w:p w14:paraId="1D217F47" w14:textId="77777777" w:rsidR="00B97C4A" w:rsidRPr="00B97C4A" w:rsidRDefault="00B97C4A" w:rsidP="00B97C4A">
            <w:pPr>
              <w:spacing w:after="0" w:line="240" w:lineRule="auto"/>
              <w:rPr>
                <w:rFonts w:ascii="Calibri" w:eastAsia="Times New Roman" w:hAnsi="Calibri" w:cs="Calibri"/>
                <w:color w:val="000000"/>
              </w:rPr>
            </w:pPr>
            <w:r w:rsidRPr="00B97C4A">
              <w:rPr>
                <w:rFonts w:ascii="Calibri" w:eastAsia="Times New Roman" w:hAnsi="Calibri" w:cs="Calibri"/>
                <w:color w:val="000000"/>
              </w:rPr>
              <w:t xml:space="preserve">Physician </w:t>
            </w:r>
          </w:p>
        </w:tc>
        <w:tc>
          <w:tcPr>
            <w:tcW w:w="960" w:type="dxa"/>
            <w:tcBorders>
              <w:top w:val="nil"/>
              <w:left w:val="nil"/>
              <w:bottom w:val="nil"/>
              <w:right w:val="nil"/>
            </w:tcBorders>
            <w:shd w:val="clear" w:color="auto" w:fill="auto"/>
            <w:noWrap/>
            <w:vAlign w:val="center"/>
            <w:hideMark/>
          </w:tcPr>
          <w:p w14:paraId="291C8BF4" w14:textId="77777777" w:rsidR="00B97C4A" w:rsidRPr="00B97C4A" w:rsidRDefault="00B97C4A" w:rsidP="00B97C4A">
            <w:pPr>
              <w:spacing w:after="0" w:line="240" w:lineRule="auto"/>
              <w:jc w:val="center"/>
              <w:rPr>
                <w:rFonts w:ascii="Calibri" w:eastAsia="Times New Roman" w:hAnsi="Calibri" w:cs="Calibri"/>
                <w:color w:val="000000"/>
              </w:rPr>
            </w:pPr>
            <w:r w:rsidRPr="00B97C4A">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center"/>
            <w:hideMark/>
          </w:tcPr>
          <w:p w14:paraId="4731DC38" w14:textId="77777777" w:rsidR="00B97C4A" w:rsidRPr="00B97C4A" w:rsidRDefault="00B97C4A" w:rsidP="00B97C4A">
            <w:pPr>
              <w:spacing w:after="0" w:line="240" w:lineRule="auto"/>
              <w:jc w:val="center"/>
              <w:rPr>
                <w:rFonts w:ascii="Calibri" w:eastAsia="Times New Roman" w:hAnsi="Calibri" w:cs="Calibri"/>
                <w:color w:val="000000"/>
              </w:rPr>
            </w:pPr>
            <w:r w:rsidRPr="00B97C4A">
              <w:rPr>
                <w:rFonts w:ascii="Calibri" w:eastAsia="Times New Roman" w:hAnsi="Calibri" w:cs="Calibri"/>
                <w:color w:val="000000"/>
              </w:rPr>
              <w:t>79/hour</w:t>
            </w:r>
          </w:p>
        </w:tc>
        <w:tc>
          <w:tcPr>
            <w:tcW w:w="960" w:type="dxa"/>
            <w:tcBorders>
              <w:top w:val="nil"/>
              <w:left w:val="nil"/>
              <w:bottom w:val="nil"/>
              <w:right w:val="nil"/>
            </w:tcBorders>
            <w:shd w:val="clear" w:color="auto" w:fill="auto"/>
            <w:noWrap/>
            <w:vAlign w:val="center"/>
            <w:hideMark/>
          </w:tcPr>
          <w:p w14:paraId="5EDA1C3F" w14:textId="77777777" w:rsidR="00B97C4A" w:rsidRPr="00B97C4A" w:rsidRDefault="00B97C4A" w:rsidP="00B97C4A">
            <w:pPr>
              <w:spacing w:after="0" w:line="240" w:lineRule="auto"/>
              <w:jc w:val="center"/>
              <w:rPr>
                <w:rFonts w:ascii="Calibri" w:eastAsia="Times New Roman" w:hAnsi="Calibri" w:cs="Calibri"/>
                <w:color w:val="000000"/>
              </w:rPr>
            </w:pPr>
            <w:r w:rsidRPr="00B97C4A">
              <w:rPr>
                <w:rFonts w:ascii="Calibri" w:eastAsia="Times New Roman" w:hAnsi="Calibri" w:cs="Calibri"/>
                <w:color w:val="000000"/>
              </w:rPr>
              <w:t>1,300</w:t>
            </w:r>
          </w:p>
        </w:tc>
        <w:tc>
          <w:tcPr>
            <w:tcW w:w="1054" w:type="dxa"/>
            <w:tcBorders>
              <w:top w:val="nil"/>
              <w:left w:val="nil"/>
              <w:bottom w:val="nil"/>
              <w:right w:val="nil"/>
            </w:tcBorders>
            <w:shd w:val="clear" w:color="auto" w:fill="auto"/>
            <w:noWrap/>
            <w:vAlign w:val="center"/>
            <w:hideMark/>
          </w:tcPr>
          <w:p w14:paraId="707A76CC" w14:textId="77777777" w:rsidR="00B97C4A" w:rsidRPr="00B97C4A" w:rsidRDefault="00B97C4A" w:rsidP="00B97C4A">
            <w:pPr>
              <w:spacing w:after="0" w:line="240" w:lineRule="auto"/>
              <w:jc w:val="center"/>
              <w:rPr>
                <w:rFonts w:ascii="Calibri" w:eastAsia="Times New Roman" w:hAnsi="Calibri" w:cs="Calibri"/>
                <w:color w:val="000000"/>
              </w:rPr>
            </w:pPr>
            <w:r w:rsidRPr="00B97C4A">
              <w:rPr>
                <w:rFonts w:ascii="Calibri" w:eastAsia="Times New Roman" w:hAnsi="Calibri" w:cs="Calibri"/>
                <w:color w:val="000000"/>
              </w:rPr>
              <w:t xml:space="preserve">$102,700 </w:t>
            </w:r>
          </w:p>
        </w:tc>
        <w:tc>
          <w:tcPr>
            <w:tcW w:w="960" w:type="dxa"/>
            <w:tcBorders>
              <w:top w:val="nil"/>
              <w:left w:val="nil"/>
              <w:bottom w:val="nil"/>
              <w:right w:val="nil"/>
            </w:tcBorders>
            <w:shd w:val="clear" w:color="auto" w:fill="auto"/>
            <w:noWrap/>
            <w:vAlign w:val="center"/>
            <w:hideMark/>
          </w:tcPr>
          <w:p w14:paraId="252C6F1D" w14:textId="77777777" w:rsidR="00B97C4A" w:rsidRPr="00B97C4A" w:rsidRDefault="00B97C4A" w:rsidP="00B97C4A">
            <w:pPr>
              <w:spacing w:after="0" w:line="240" w:lineRule="auto"/>
              <w:jc w:val="center"/>
              <w:rPr>
                <w:rFonts w:ascii="Calibri" w:eastAsia="Times New Roman" w:hAnsi="Calibri" w:cs="Calibri"/>
                <w:color w:val="000000"/>
              </w:rPr>
            </w:pPr>
            <w:r w:rsidRPr="00B97C4A">
              <w:rPr>
                <w:rFonts w:ascii="Calibri" w:eastAsia="Times New Roman" w:hAnsi="Calibri" w:cs="Calibri"/>
                <w:color w:val="000000"/>
              </w:rPr>
              <w:t>37%</w:t>
            </w:r>
          </w:p>
        </w:tc>
        <w:tc>
          <w:tcPr>
            <w:tcW w:w="1220" w:type="dxa"/>
            <w:tcBorders>
              <w:top w:val="nil"/>
              <w:left w:val="nil"/>
              <w:bottom w:val="nil"/>
              <w:right w:val="nil"/>
            </w:tcBorders>
            <w:shd w:val="clear" w:color="auto" w:fill="auto"/>
            <w:noWrap/>
            <w:vAlign w:val="center"/>
            <w:hideMark/>
          </w:tcPr>
          <w:p w14:paraId="34AF80E1" w14:textId="77777777" w:rsidR="00B97C4A" w:rsidRPr="00B97C4A" w:rsidRDefault="00B97C4A" w:rsidP="00B97C4A">
            <w:pPr>
              <w:spacing w:after="0" w:line="240" w:lineRule="auto"/>
              <w:jc w:val="center"/>
              <w:rPr>
                <w:rFonts w:ascii="Calibri" w:eastAsia="Times New Roman" w:hAnsi="Calibri" w:cs="Calibri"/>
                <w:color w:val="000000"/>
              </w:rPr>
            </w:pPr>
            <w:r w:rsidRPr="00B97C4A">
              <w:rPr>
                <w:rFonts w:ascii="Calibri" w:eastAsia="Times New Roman" w:hAnsi="Calibri" w:cs="Calibri"/>
                <w:color w:val="000000"/>
              </w:rPr>
              <w:t xml:space="preserve">$37,999 </w:t>
            </w:r>
          </w:p>
        </w:tc>
        <w:tc>
          <w:tcPr>
            <w:tcW w:w="1054" w:type="dxa"/>
            <w:tcBorders>
              <w:top w:val="nil"/>
              <w:left w:val="nil"/>
              <w:bottom w:val="nil"/>
              <w:right w:val="nil"/>
            </w:tcBorders>
            <w:shd w:val="clear" w:color="auto" w:fill="auto"/>
            <w:noWrap/>
            <w:vAlign w:val="center"/>
            <w:hideMark/>
          </w:tcPr>
          <w:p w14:paraId="4BF00D4E" w14:textId="77777777" w:rsidR="00B97C4A" w:rsidRPr="00B97C4A" w:rsidRDefault="00B97C4A" w:rsidP="00B97C4A">
            <w:pPr>
              <w:spacing w:after="0" w:line="240" w:lineRule="auto"/>
              <w:jc w:val="center"/>
              <w:rPr>
                <w:rFonts w:ascii="Calibri" w:eastAsia="Times New Roman" w:hAnsi="Calibri" w:cs="Calibri"/>
                <w:color w:val="000000"/>
              </w:rPr>
            </w:pPr>
            <w:r w:rsidRPr="00B97C4A">
              <w:rPr>
                <w:rFonts w:ascii="Calibri" w:eastAsia="Times New Roman" w:hAnsi="Calibri" w:cs="Calibri"/>
                <w:color w:val="000000"/>
              </w:rPr>
              <w:t xml:space="preserve">$140,699 </w:t>
            </w:r>
          </w:p>
        </w:tc>
      </w:tr>
      <w:tr w:rsidR="00B97C4A" w:rsidRPr="00B97C4A" w14:paraId="6440EAEE" w14:textId="77777777" w:rsidTr="00B97C4A">
        <w:trPr>
          <w:trHeight w:val="300"/>
        </w:trPr>
        <w:tc>
          <w:tcPr>
            <w:tcW w:w="1120" w:type="dxa"/>
            <w:tcBorders>
              <w:top w:val="nil"/>
              <w:left w:val="nil"/>
              <w:bottom w:val="nil"/>
              <w:right w:val="nil"/>
            </w:tcBorders>
            <w:shd w:val="clear" w:color="auto" w:fill="auto"/>
            <w:noWrap/>
            <w:vAlign w:val="center"/>
            <w:hideMark/>
          </w:tcPr>
          <w:p w14:paraId="260B0A50" w14:textId="77777777" w:rsidR="00B97C4A" w:rsidRPr="00B97C4A" w:rsidRDefault="00B97C4A" w:rsidP="00B97C4A">
            <w:pPr>
              <w:spacing w:after="0" w:line="240" w:lineRule="auto"/>
              <w:rPr>
                <w:rFonts w:ascii="Calibri" w:eastAsia="Times New Roman" w:hAnsi="Calibri" w:cs="Calibri"/>
                <w:color w:val="000000"/>
              </w:rPr>
            </w:pPr>
            <w:r w:rsidRPr="00B97C4A">
              <w:rPr>
                <w:rFonts w:ascii="Calibri" w:eastAsia="Times New Roman" w:hAnsi="Calibri" w:cs="Calibri"/>
                <w:color w:val="000000"/>
              </w:rPr>
              <w:t>Admin. staff</w:t>
            </w:r>
          </w:p>
        </w:tc>
        <w:tc>
          <w:tcPr>
            <w:tcW w:w="960" w:type="dxa"/>
            <w:tcBorders>
              <w:top w:val="nil"/>
              <w:left w:val="nil"/>
              <w:bottom w:val="nil"/>
              <w:right w:val="nil"/>
            </w:tcBorders>
            <w:shd w:val="clear" w:color="auto" w:fill="auto"/>
            <w:noWrap/>
            <w:vAlign w:val="center"/>
            <w:hideMark/>
          </w:tcPr>
          <w:p w14:paraId="109757F0" w14:textId="4161283D" w:rsidR="00B97C4A" w:rsidRPr="00B97C4A" w:rsidRDefault="00EC0873" w:rsidP="00B97C4A">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center"/>
            <w:hideMark/>
          </w:tcPr>
          <w:p w14:paraId="1915407F" w14:textId="77777777" w:rsidR="00B97C4A" w:rsidRPr="00B97C4A" w:rsidRDefault="00B97C4A" w:rsidP="00B97C4A">
            <w:pPr>
              <w:spacing w:after="0" w:line="240" w:lineRule="auto"/>
              <w:rPr>
                <w:rFonts w:ascii="Calibri" w:eastAsia="Times New Roman" w:hAnsi="Calibri" w:cs="Calibri"/>
                <w:color w:val="000000"/>
              </w:rPr>
            </w:pPr>
            <w:r w:rsidRPr="00B97C4A">
              <w:rPr>
                <w:rFonts w:ascii="Calibri" w:eastAsia="Times New Roman" w:hAnsi="Calibri" w:cs="Calibri"/>
                <w:color w:val="000000"/>
              </w:rPr>
              <w:t>Annual</w:t>
            </w:r>
          </w:p>
        </w:tc>
        <w:tc>
          <w:tcPr>
            <w:tcW w:w="960" w:type="dxa"/>
            <w:tcBorders>
              <w:top w:val="nil"/>
              <w:left w:val="nil"/>
              <w:bottom w:val="nil"/>
              <w:right w:val="nil"/>
            </w:tcBorders>
            <w:shd w:val="clear" w:color="auto" w:fill="auto"/>
            <w:noWrap/>
            <w:vAlign w:val="center"/>
            <w:hideMark/>
          </w:tcPr>
          <w:p w14:paraId="5F58055A" w14:textId="77777777" w:rsidR="00B97C4A" w:rsidRPr="00B97C4A" w:rsidRDefault="00B97C4A" w:rsidP="00B97C4A">
            <w:pPr>
              <w:spacing w:after="0" w:line="240" w:lineRule="auto"/>
              <w:rPr>
                <w:rFonts w:ascii="Calibri" w:eastAsia="Times New Roman" w:hAnsi="Calibri" w:cs="Calibri"/>
                <w:color w:val="000000"/>
              </w:rPr>
            </w:pPr>
            <w:r w:rsidRPr="00B97C4A">
              <w:rPr>
                <w:rFonts w:ascii="Calibri" w:eastAsia="Times New Roman" w:hAnsi="Calibri" w:cs="Calibri"/>
                <w:color w:val="000000"/>
              </w:rPr>
              <w:t>N/A</w:t>
            </w:r>
          </w:p>
        </w:tc>
        <w:tc>
          <w:tcPr>
            <w:tcW w:w="1054" w:type="dxa"/>
            <w:tcBorders>
              <w:top w:val="nil"/>
              <w:left w:val="nil"/>
              <w:bottom w:val="nil"/>
              <w:right w:val="nil"/>
            </w:tcBorders>
            <w:shd w:val="clear" w:color="auto" w:fill="auto"/>
            <w:noWrap/>
            <w:vAlign w:val="center"/>
            <w:hideMark/>
          </w:tcPr>
          <w:p w14:paraId="4ED236E5" w14:textId="601392D5" w:rsidR="00B97C4A" w:rsidRPr="00B97C4A" w:rsidRDefault="00EC0873" w:rsidP="00B97C4A">
            <w:pPr>
              <w:spacing w:after="0" w:line="240" w:lineRule="auto"/>
              <w:jc w:val="right"/>
              <w:rPr>
                <w:rFonts w:ascii="Calibri" w:eastAsia="Times New Roman" w:hAnsi="Calibri" w:cs="Calibri"/>
                <w:color w:val="000000"/>
              </w:rPr>
            </w:pPr>
            <w:r>
              <w:rPr>
                <w:rFonts w:ascii="Calibri" w:eastAsia="Times New Roman" w:hAnsi="Calibri" w:cs="Calibri"/>
                <w:color w:val="000000"/>
              </w:rPr>
              <w:t>$110</w:t>
            </w:r>
            <w:r w:rsidR="00B97C4A" w:rsidRPr="00B97C4A">
              <w:rPr>
                <w:rFonts w:ascii="Calibri" w:eastAsia="Times New Roman" w:hAnsi="Calibri" w:cs="Calibri"/>
                <w:color w:val="000000"/>
              </w:rPr>
              <w:t xml:space="preserve">,000 </w:t>
            </w:r>
          </w:p>
        </w:tc>
        <w:tc>
          <w:tcPr>
            <w:tcW w:w="960" w:type="dxa"/>
            <w:tcBorders>
              <w:top w:val="nil"/>
              <w:left w:val="nil"/>
              <w:bottom w:val="nil"/>
              <w:right w:val="nil"/>
            </w:tcBorders>
            <w:shd w:val="clear" w:color="auto" w:fill="auto"/>
            <w:noWrap/>
            <w:vAlign w:val="center"/>
            <w:hideMark/>
          </w:tcPr>
          <w:p w14:paraId="7190C9ED" w14:textId="77777777" w:rsidR="00B97C4A" w:rsidRPr="00B97C4A" w:rsidRDefault="00B97C4A" w:rsidP="00B97C4A">
            <w:pPr>
              <w:spacing w:after="0" w:line="240" w:lineRule="auto"/>
              <w:jc w:val="center"/>
              <w:rPr>
                <w:rFonts w:ascii="Calibri" w:eastAsia="Times New Roman" w:hAnsi="Calibri" w:cs="Calibri"/>
                <w:color w:val="000000"/>
              </w:rPr>
            </w:pPr>
            <w:r w:rsidRPr="00B97C4A">
              <w:rPr>
                <w:rFonts w:ascii="Calibri" w:eastAsia="Times New Roman" w:hAnsi="Calibri" w:cs="Calibri"/>
                <w:color w:val="000000"/>
              </w:rPr>
              <w:t>37%</w:t>
            </w:r>
          </w:p>
        </w:tc>
        <w:tc>
          <w:tcPr>
            <w:tcW w:w="1220" w:type="dxa"/>
            <w:tcBorders>
              <w:top w:val="nil"/>
              <w:left w:val="nil"/>
              <w:bottom w:val="nil"/>
              <w:right w:val="nil"/>
            </w:tcBorders>
            <w:shd w:val="clear" w:color="auto" w:fill="auto"/>
            <w:noWrap/>
            <w:vAlign w:val="center"/>
            <w:hideMark/>
          </w:tcPr>
          <w:p w14:paraId="5A9F8806" w14:textId="418BC044" w:rsidR="00B97C4A" w:rsidRPr="00B97C4A" w:rsidRDefault="00EC0873" w:rsidP="00B97C4A">
            <w:pPr>
              <w:spacing w:after="0" w:line="240" w:lineRule="auto"/>
              <w:jc w:val="center"/>
              <w:rPr>
                <w:rFonts w:ascii="Calibri" w:eastAsia="Times New Roman" w:hAnsi="Calibri" w:cs="Calibri"/>
                <w:color w:val="000000"/>
              </w:rPr>
            </w:pPr>
            <w:r>
              <w:rPr>
                <w:rFonts w:ascii="Calibri" w:eastAsia="Times New Roman" w:hAnsi="Calibri" w:cs="Calibri"/>
                <w:color w:val="000000"/>
              </w:rPr>
              <w:t>$40,7</w:t>
            </w:r>
            <w:r w:rsidR="00B97C4A" w:rsidRPr="00B97C4A">
              <w:rPr>
                <w:rFonts w:ascii="Calibri" w:eastAsia="Times New Roman" w:hAnsi="Calibri" w:cs="Calibri"/>
                <w:color w:val="000000"/>
              </w:rPr>
              <w:t xml:space="preserve">00 </w:t>
            </w:r>
          </w:p>
        </w:tc>
        <w:tc>
          <w:tcPr>
            <w:tcW w:w="1054" w:type="dxa"/>
            <w:tcBorders>
              <w:top w:val="nil"/>
              <w:left w:val="nil"/>
              <w:bottom w:val="nil"/>
              <w:right w:val="nil"/>
            </w:tcBorders>
            <w:shd w:val="clear" w:color="auto" w:fill="auto"/>
            <w:noWrap/>
            <w:vAlign w:val="center"/>
            <w:hideMark/>
          </w:tcPr>
          <w:p w14:paraId="353242FE" w14:textId="302CDC37" w:rsidR="00B97C4A" w:rsidRPr="00B97C4A" w:rsidRDefault="00EC0873" w:rsidP="00B97C4A">
            <w:pPr>
              <w:spacing w:after="0" w:line="240" w:lineRule="auto"/>
              <w:jc w:val="center"/>
              <w:rPr>
                <w:rFonts w:ascii="Calibri" w:eastAsia="Times New Roman" w:hAnsi="Calibri" w:cs="Calibri"/>
                <w:color w:val="000000"/>
              </w:rPr>
            </w:pPr>
            <w:r>
              <w:rPr>
                <w:rFonts w:ascii="Calibri" w:eastAsia="Times New Roman" w:hAnsi="Calibri" w:cs="Calibri"/>
                <w:color w:val="000000"/>
              </w:rPr>
              <w:t>$150,7</w:t>
            </w:r>
            <w:r w:rsidR="00B97C4A" w:rsidRPr="00B97C4A">
              <w:rPr>
                <w:rFonts w:ascii="Calibri" w:eastAsia="Times New Roman" w:hAnsi="Calibri" w:cs="Calibri"/>
                <w:color w:val="000000"/>
              </w:rPr>
              <w:t xml:space="preserve">00 </w:t>
            </w:r>
          </w:p>
        </w:tc>
      </w:tr>
      <w:tr w:rsidR="00B97C4A" w:rsidRPr="00B97C4A" w14:paraId="770F2AD7" w14:textId="77777777" w:rsidTr="00B97C4A">
        <w:trPr>
          <w:trHeight w:val="315"/>
        </w:trPr>
        <w:tc>
          <w:tcPr>
            <w:tcW w:w="1120" w:type="dxa"/>
            <w:tcBorders>
              <w:top w:val="nil"/>
              <w:left w:val="nil"/>
              <w:bottom w:val="single" w:sz="8" w:space="0" w:color="auto"/>
              <w:right w:val="nil"/>
            </w:tcBorders>
            <w:shd w:val="clear" w:color="000000" w:fill="FCE4D6"/>
            <w:noWrap/>
            <w:vAlign w:val="center"/>
            <w:hideMark/>
          </w:tcPr>
          <w:p w14:paraId="29819271"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 xml:space="preserve">Total </w:t>
            </w:r>
          </w:p>
        </w:tc>
        <w:tc>
          <w:tcPr>
            <w:tcW w:w="960" w:type="dxa"/>
            <w:tcBorders>
              <w:top w:val="nil"/>
              <w:left w:val="nil"/>
              <w:bottom w:val="single" w:sz="8" w:space="0" w:color="auto"/>
              <w:right w:val="nil"/>
            </w:tcBorders>
            <w:shd w:val="clear" w:color="000000" w:fill="FCE4D6"/>
            <w:noWrap/>
            <w:vAlign w:val="center"/>
            <w:hideMark/>
          </w:tcPr>
          <w:p w14:paraId="6ADBB4B1"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2</w:t>
            </w:r>
          </w:p>
        </w:tc>
        <w:tc>
          <w:tcPr>
            <w:tcW w:w="960" w:type="dxa"/>
            <w:tcBorders>
              <w:top w:val="nil"/>
              <w:left w:val="nil"/>
              <w:bottom w:val="single" w:sz="8" w:space="0" w:color="auto"/>
              <w:right w:val="nil"/>
            </w:tcBorders>
            <w:shd w:val="clear" w:color="000000" w:fill="FCE4D6"/>
            <w:noWrap/>
            <w:vAlign w:val="center"/>
            <w:hideMark/>
          </w:tcPr>
          <w:p w14:paraId="09AFDA9F"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 </w:t>
            </w:r>
          </w:p>
        </w:tc>
        <w:tc>
          <w:tcPr>
            <w:tcW w:w="960" w:type="dxa"/>
            <w:tcBorders>
              <w:top w:val="nil"/>
              <w:left w:val="nil"/>
              <w:bottom w:val="single" w:sz="8" w:space="0" w:color="auto"/>
              <w:right w:val="nil"/>
            </w:tcBorders>
            <w:shd w:val="clear" w:color="000000" w:fill="FCE4D6"/>
            <w:noWrap/>
            <w:vAlign w:val="center"/>
            <w:hideMark/>
          </w:tcPr>
          <w:p w14:paraId="3A62C407"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 </w:t>
            </w:r>
          </w:p>
        </w:tc>
        <w:tc>
          <w:tcPr>
            <w:tcW w:w="1054" w:type="dxa"/>
            <w:tcBorders>
              <w:top w:val="nil"/>
              <w:left w:val="nil"/>
              <w:bottom w:val="single" w:sz="8" w:space="0" w:color="auto"/>
              <w:right w:val="nil"/>
            </w:tcBorders>
            <w:shd w:val="clear" w:color="000000" w:fill="FCE4D6"/>
            <w:noWrap/>
            <w:vAlign w:val="center"/>
            <w:hideMark/>
          </w:tcPr>
          <w:p w14:paraId="7A071835" w14:textId="166CB511" w:rsidR="00B97C4A" w:rsidRPr="00B97C4A" w:rsidRDefault="00EC0873" w:rsidP="00B97C4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$21</w:t>
            </w:r>
            <w:r w:rsidR="00B97C4A" w:rsidRPr="00B97C4A">
              <w:rPr>
                <w:rFonts w:ascii="Calibri" w:eastAsia="Times New Roman" w:hAnsi="Calibri" w:cs="Calibri"/>
                <w:b/>
                <w:bCs/>
                <w:color w:val="000000"/>
              </w:rPr>
              <w:t xml:space="preserve">2,700 </w:t>
            </w:r>
          </w:p>
        </w:tc>
        <w:tc>
          <w:tcPr>
            <w:tcW w:w="960" w:type="dxa"/>
            <w:tcBorders>
              <w:top w:val="nil"/>
              <w:left w:val="nil"/>
              <w:bottom w:val="single" w:sz="8" w:space="0" w:color="auto"/>
              <w:right w:val="nil"/>
            </w:tcBorders>
            <w:shd w:val="clear" w:color="000000" w:fill="FCE4D6"/>
            <w:noWrap/>
            <w:vAlign w:val="center"/>
            <w:hideMark/>
          </w:tcPr>
          <w:p w14:paraId="7D389705" w14:textId="77777777" w:rsidR="00B97C4A" w:rsidRPr="00B97C4A" w:rsidRDefault="00B97C4A" w:rsidP="00B97C4A">
            <w:pPr>
              <w:spacing w:after="0" w:line="240" w:lineRule="auto"/>
              <w:jc w:val="center"/>
              <w:rPr>
                <w:rFonts w:ascii="Calibri" w:eastAsia="Times New Roman" w:hAnsi="Calibri" w:cs="Calibri"/>
                <w:b/>
                <w:bCs/>
                <w:color w:val="000000"/>
              </w:rPr>
            </w:pPr>
            <w:r w:rsidRPr="00B97C4A">
              <w:rPr>
                <w:rFonts w:ascii="Calibri" w:eastAsia="Times New Roman" w:hAnsi="Calibri" w:cs="Calibri"/>
                <w:b/>
                <w:bCs/>
                <w:color w:val="000000"/>
              </w:rPr>
              <w:t> </w:t>
            </w:r>
          </w:p>
        </w:tc>
        <w:tc>
          <w:tcPr>
            <w:tcW w:w="1220" w:type="dxa"/>
            <w:tcBorders>
              <w:top w:val="nil"/>
              <w:left w:val="nil"/>
              <w:bottom w:val="single" w:sz="8" w:space="0" w:color="auto"/>
              <w:right w:val="nil"/>
            </w:tcBorders>
            <w:shd w:val="clear" w:color="000000" w:fill="FCE4D6"/>
            <w:noWrap/>
            <w:vAlign w:val="center"/>
            <w:hideMark/>
          </w:tcPr>
          <w:p w14:paraId="7F069F10" w14:textId="39D1BB16" w:rsidR="00B97C4A" w:rsidRPr="00B97C4A" w:rsidRDefault="00EC0873" w:rsidP="00B97C4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$78,6</w:t>
            </w:r>
            <w:r w:rsidR="00B97C4A" w:rsidRPr="00B97C4A">
              <w:rPr>
                <w:rFonts w:ascii="Calibri" w:eastAsia="Times New Roman" w:hAnsi="Calibri" w:cs="Calibri"/>
                <w:b/>
                <w:bCs/>
                <w:color w:val="000000"/>
              </w:rPr>
              <w:t xml:space="preserve">99 </w:t>
            </w:r>
          </w:p>
        </w:tc>
        <w:tc>
          <w:tcPr>
            <w:tcW w:w="1054" w:type="dxa"/>
            <w:tcBorders>
              <w:top w:val="nil"/>
              <w:left w:val="nil"/>
              <w:bottom w:val="single" w:sz="8" w:space="0" w:color="auto"/>
              <w:right w:val="nil"/>
            </w:tcBorders>
            <w:shd w:val="clear" w:color="000000" w:fill="FCE4D6"/>
            <w:noWrap/>
            <w:vAlign w:val="center"/>
            <w:hideMark/>
          </w:tcPr>
          <w:p w14:paraId="3C111995" w14:textId="5B71B190" w:rsidR="00B97C4A" w:rsidRPr="00B97C4A" w:rsidRDefault="00EC0873" w:rsidP="00B97C4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$291,3</w:t>
            </w:r>
            <w:r w:rsidR="00B97C4A" w:rsidRPr="00B97C4A">
              <w:rPr>
                <w:rFonts w:ascii="Calibri" w:eastAsia="Times New Roman" w:hAnsi="Calibri" w:cs="Calibri"/>
                <w:b/>
                <w:bCs/>
                <w:color w:val="000000"/>
              </w:rPr>
              <w:t xml:space="preserve">99 </w:t>
            </w:r>
          </w:p>
        </w:tc>
      </w:tr>
    </w:tbl>
    <w:p w14:paraId="778CABB1" w14:textId="77777777" w:rsidR="00A72675" w:rsidRPr="00A72675" w:rsidRDefault="00A72675" w:rsidP="00A72675">
      <w:pPr>
        <w:pStyle w:val="ListParagraph"/>
        <w:jc w:val="both"/>
        <w:rPr>
          <w:rFonts w:ascii="Calibri" w:hAnsi="Calibri" w:cs="Calibri"/>
        </w:rPr>
      </w:pPr>
      <w:r>
        <w:rPr>
          <w:rFonts w:ascii="Calibri" w:hAnsi="Calibri" w:cs="Calibri"/>
        </w:rPr>
        <w:t xml:space="preserve">  </w:t>
      </w:r>
    </w:p>
    <w:p w14:paraId="1CE9D097" w14:textId="14ED0881" w:rsidR="00C1284C" w:rsidRPr="00AC6B42" w:rsidRDefault="00E92AED" w:rsidP="007379C8">
      <w:pPr>
        <w:jc w:val="both"/>
        <w:rPr>
          <w:rFonts w:ascii="Calibri" w:hAnsi="Calibri" w:cs="Calibri"/>
        </w:rPr>
      </w:pPr>
      <w:r>
        <w:rPr>
          <w:rFonts w:ascii="Calibri" w:hAnsi="Calibri" w:cs="Calibri"/>
        </w:rPr>
        <w:t>Again, the above table highlights the cost which</w:t>
      </w:r>
      <w:r w:rsidR="00C57390">
        <w:rPr>
          <w:rFonts w:ascii="Calibri" w:hAnsi="Calibri" w:cs="Calibri"/>
        </w:rPr>
        <w:t xml:space="preserve"> is insignificant comparing to</w:t>
      </w:r>
      <w:r>
        <w:rPr>
          <w:rFonts w:ascii="Calibri" w:hAnsi="Calibri" w:cs="Calibri"/>
        </w:rPr>
        <w:t xml:space="preserve"> the potential reimbursement</w:t>
      </w:r>
      <w:r w:rsidR="00C57390">
        <w:rPr>
          <w:rFonts w:ascii="Calibri" w:hAnsi="Calibri" w:cs="Calibri"/>
        </w:rPr>
        <w:t xml:space="preserve"> of</w:t>
      </w:r>
      <w:r w:rsidR="009524D2">
        <w:rPr>
          <w:rFonts w:ascii="Calibri" w:hAnsi="Calibri" w:cs="Calibri"/>
        </w:rPr>
        <w:t xml:space="preserve"> approximately</w:t>
      </w:r>
      <w:r w:rsidR="00C57390">
        <w:rPr>
          <w:rFonts w:ascii="Calibri" w:hAnsi="Calibri" w:cs="Calibri"/>
        </w:rPr>
        <w:t xml:space="preserve"> $4 million</w:t>
      </w:r>
      <w:r>
        <w:rPr>
          <w:rFonts w:ascii="Calibri" w:hAnsi="Calibri" w:cs="Calibri"/>
        </w:rPr>
        <w:t>.</w:t>
      </w:r>
    </w:p>
    <w:p w14:paraId="21DD8560" w14:textId="10A4CA19" w:rsidR="00C57390" w:rsidRPr="001B55EC" w:rsidRDefault="00C57390" w:rsidP="007379C8">
      <w:pPr>
        <w:jc w:val="both"/>
        <w:rPr>
          <w:rFonts w:ascii="Calibri" w:hAnsi="Calibri" w:cs="Calibri"/>
          <w:b/>
          <w:bCs/>
        </w:rPr>
      </w:pPr>
      <w:r w:rsidRPr="001B55EC">
        <w:rPr>
          <w:rFonts w:ascii="Calibri" w:hAnsi="Calibri" w:cs="Calibri"/>
          <w:b/>
          <w:bCs/>
        </w:rPr>
        <w:t>Human Resources &amp; Financial Considerations</w:t>
      </w:r>
    </w:p>
    <w:p w14:paraId="4A5279DC" w14:textId="43116D23" w:rsidR="00850838" w:rsidRDefault="001B55EC" w:rsidP="007379C8">
      <w:pPr>
        <w:jc w:val="both"/>
        <w:rPr>
          <w:rFonts w:ascii="Calibri" w:hAnsi="Calibri" w:cs="Calibri"/>
        </w:rPr>
      </w:pPr>
      <w:r>
        <w:rPr>
          <w:rFonts w:ascii="Calibri" w:hAnsi="Calibri" w:cs="Calibri"/>
        </w:rPr>
        <w:t xml:space="preserve">The </w:t>
      </w:r>
      <w:r w:rsidR="00850838">
        <w:rPr>
          <w:rFonts w:ascii="Calibri" w:hAnsi="Calibri" w:cs="Calibri"/>
        </w:rPr>
        <w:t xml:space="preserve">DOE can utilize the </w:t>
      </w:r>
      <w:r>
        <w:rPr>
          <w:rFonts w:ascii="Calibri" w:hAnsi="Calibri" w:cs="Calibri"/>
        </w:rPr>
        <w:t xml:space="preserve">Civil Service </w:t>
      </w:r>
      <w:r w:rsidR="00850838">
        <w:rPr>
          <w:rFonts w:ascii="Calibri" w:hAnsi="Calibri" w:cs="Calibri"/>
        </w:rPr>
        <w:t>PAA Examination list to select the administrative staff by contact</w:t>
      </w:r>
      <w:r w:rsidR="00853FCF">
        <w:rPr>
          <w:rFonts w:ascii="Calibri" w:hAnsi="Calibri" w:cs="Calibri"/>
        </w:rPr>
        <w:t>ing</w:t>
      </w:r>
      <w:r w:rsidR="00850838">
        <w:rPr>
          <w:rFonts w:ascii="Calibri" w:hAnsi="Calibri" w:cs="Calibri"/>
        </w:rPr>
        <w:t xml:space="preserve"> the central HR office </w:t>
      </w:r>
      <w:r w:rsidR="00853FCF">
        <w:rPr>
          <w:rFonts w:ascii="Calibri" w:hAnsi="Calibri" w:cs="Calibri"/>
        </w:rPr>
        <w:t>and request</w:t>
      </w:r>
      <w:r w:rsidR="00850838">
        <w:rPr>
          <w:rFonts w:ascii="Calibri" w:hAnsi="Calibri" w:cs="Calibri"/>
        </w:rPr>
        <w:t xml:space="preserve"> assist</w:t>
      </w:r>
      <w:r>
        <w:rPr>
          <w:rFonts w:ascii="Calibri" w:hAnsi="Calibri" w:cs="Calibri"/>
        </w:rPr>
        <w:t>ance</w:t>
      </w:r>
      <w:r w:rsidR="00850838">
        <w:rPr>
          <w:rFonts w:ascii="Calibri" w:hAnsi="Calibri" w:cs="Calibri"/>
        </w:rPr>
        <w:t xml:space="preserve"> in this matter. </w:t>
      </w:r>
      <w:r>
        <w:rPr>
          <w:rFonts w:ascii="Calibri" w:hAnsi="Calibri" w:cs="Calibri"/>
        </w:rPr>
        <w:t>The rule is w</w:t>
      </w:r>
      <w:r w:rsidR="00850838">
        <w:rPr>
          <w:rFonts w:ascii="Calibri" w:hAnsi="Calibri" w:cs="Calibri"/>
        </w:rPr>
        <w:t>hen a list is established, agencies must select from the list to fill</w:t>
      </w:r>
      <w:r>
        <w:rPr>
          <w:rFonts w:ascii="Calibri" w:hAnsi="Calibri" w:cs="Calibri"/>
        </w:rPr>
        <w:t xml:space="preserve"> all</w:t>
      </w:r>
      <w:r w:rsidR="00850838">
        <w:rPr>
          <w:rFonts w:ascii="Calibri" w:hAnsi="Calibri" w:cs="Calibri"/>
        </w:rPr>
        <w:t xml:space="preserve"> vacancies</w:t>
      </w:r>
      <w:r w:rsidR="002B2B63">
        <w:rPr>
          <w:rFonts w:ascii="Calibri" w:hAnsi="Calibri" w:cs="Calibri"/>
        </w:rPr>
        <w:t xml:space="preserve"> until the list is exhausted or expired</w:t>
      </w:r>
      <w:r w:rsidR="00850838">
        <w:rPr>
          <w:rFonts w:ascii="Calibri" w:hAnsi="Calibri" w:cs="Calibri"/>
        </w:rPr>
        <w:t>.</w:t>
      </w:r>
      <w:r>
        <w:rPr>
          <w:rFonts w:ascii="Calibri" w:hAnsi="Calibri" w:cs="Calibri"/>
        </w:rPr>
        <w:t xml:space="preserve"> There is an active list for PAAs.</w:t>
      </w:r>
    </w:p>
    <w:p w14:paraId="5919B96C" w14:textId="77777777" w:rsidR="00850838" w:rsidRDefault="00850838" w:rsidP="007379C8">
      <w:pPr>
        <w:jc w:val="both"/>
        <w:rPr>
          <w:rFonts w:ascii="Calibri" w:hAnsi="Calibri" w:cs="Calibri"/>
        </w:rPr>
      </w:pPr>
      <w:r>
        <w:rPr>
          <w:rFonts w:ascii="Calibri" w:hAnsi="Calibri" w:cs="Calibri"/>
        </w:rPr>
        <w:t xml:space="preserve">In order to employ physicians, the position(s) must be posted and qualified candidates are interviewed and selected. </w:t>
      </w:r>
    </w:p>
    <w:p w14:paraId="4AEB4F88" w14:textId="4C5782E1" w:rsidR="00850838" w:rsidRDefault="00850838" w:rsidP="007379C8">
      <w:pPr>
        <w:jc w:val="both"/>
        <w:rPr>
          <w:rFonts w:ascii="Calibri" w:hAnsi="Calibri" w:cs="Calibri"/>
        </w:rPr>
      </w:pPr>
      <w:r>
        <w:rPr>
          <w:rFonts w:ascii="Calibri" w:hAnsi="Calibri" w:cs="Calibri"/>
        </w:rPr>
        <w:t>The timeline for</w:t>
      </w:r>
      <w:r w:rsidR="00615063">
        <w:rPr>
          <w:rFonts w:ascii="Calibri" w:hAnsi="Calibri" w:cs="Calibri"/>
        </w:rPr>
        <w:t xml:space="preserve"> completing the embedding</w:t>
      </w:r>
      <w:r>
        <w:rPr>
          <w:rFonts w:ascii="Calibri" w:hAnsi="Calibri" w:cs="Calibri"/>
        </w:rPr>
        <w:t xml:space="preserve"> process</w:t>
      </w:r>
      <w:r w:rsidR="00853CB7">
        <w:rPr>
          <w:rFonts w:ascii="Calibri" w:hAnsi="Calibri" w:cs="Calibri"/>
        </w:rPr>
        <w:t xml:space="preserve"> </w:t>
      </w:r>
      <w:r w:rsidR="00371833">
        <w:rPr>
          <w:rFonts w:ascii="Calibri" w:hAnsi="Calibri" w:cs="Calibri"/>
        </w:rPr>
        <w:t>can be four to six</w:t>
      </w:r>
      <w:r>
        <w:rPr>
          <w:rFonts w:ascii="Calibri" w:hAnsi="Calibri" w:cs="Calibri"/>
        </w:rPr>
        <w:t xml:space="preserve"> months since the prospective candidate must be fingerprinted and cleared federally and </w:t>
      </w:r>
      <w:r w:rsidR="003620D5">
        <w:rPr>
          <w:rFonts w:ascii="Calibri" w:hAnsi="Calibri" w:cs="Calibri"/>
        </w:rPr>
        <w:t xml:space="preserve">by the </w:t>
      </w:r>
      <w:r>
        <w:rPr>
          <w:rFonts w:ascii="Calibri" w:hAnsi="Calibri" w:cs="Calibri"/>
        </w:rPr>
        <w:t xml:space="preserve">State before employment </w:t>
      </w:r>
      <w:r w:rsidR="00853CB7">
        <w:rPr>
          <w:rFonts w:ascii="Calibri" w:hAnsi="Calibri" w:cs="Calibri"/>
        </w:rPr>
        <w:t>can commence</w:t>
      </w:r>
      <w:r>
        <w:rPr>
          <w:rFonts w:ascii="Calibri" w:hAnsi="Calibri" w:cs="Calibri"/>
        </w:rPr>
        <w:t>. However, before the position is advertised, FTE must be approved by budget, HR</w:t>
      </w:r>
      <w:r w:rsidR="00853CB7">
        <w:rPr>
          <w:rFonts w:ascii="Calibri" w:hAnsi="Calibri" w:cs="Calibri"/>
        </w:rPr>
        <w:t xml:space="preserve"> (including classification unit)</w:t>
      </w:r>
      <w:r>
        <w:rPr>
          <w:rFonts w:ascii="Calibri" w:hAnsi="Calibri" w:cs="Calibri"/>
        </w:rPr>
        <w:t xml:space="preserve"> and payroll departments. </w:t>
      </w:r>
      <w:r w:rsidR="003620D5">
        <w:rPr>
          <w:rFonts w:ascii="Calibri" w:hAnsi="Calibri" w:cs="Calibri"/>
        </w:rPr>
        <w:t>Historically, t</w:t>
      </w:r>
      <w:r w:rsidR="00853CB7">
        <w:rPr>
          <w:rFonts w:ascii="Calibri" w:hAnsi="Calibri" w:cs="Calibri"/>
        </w:rPr>
        <w:t>he</w:t>
      </w:r>
      <w:r w:rsidR="003620D5">
        <w:rPr>
          <w:rFonts w:ascii="Calibri" w:hAnsi="Calibri" w:cs="Calibri"/>
        </w:rPr>
        <w:t>re are</w:t>
      </w:r>
      <w:r w:rsidR="00853CB7">
        <w:rPr>
          <w:rFonts w:ascii="Calibri" w:hAnsi="Calibri" w:cs="Calibri"/>
        </w:rPr>
        <w:t xml:space="preserve"> challenge</w:t>
      </w:r>
      <w:r w:rsidR="003620D5">
        <w:rPr>
          <w:rFonts w:ascii="Calibri" w:hAnsi="Calibri" w:cs="Calibri"/>
        </w:rPr>
        <w:t>s</w:t>
      </w:r>
      <w:r w:rsidR="00853CB7">
        <w:rPr>
          <w:rFonts w:ascii="Calibri" w:hAnsi="Calibri" w:cs="Calibri"/>
        </w:rPr>
        <w:t xml:space="preserve"> to secure the approval </w:t>
      </w:r>
      <w:r w:rsidR="003620D5">
        <w:rPr>
          <w:rFonts w:ascii="Calibri" w:hAnsi="Calibri" w:cs="Calibri"/>
        </w:rPr>
        <w:t>from</w:t>
      </w:r>
      <w:r w:rsidR="00853CB7">
        <w:rPr>
          <w:rFonts w:ascii="Calibri" w:hAnsi="Calibri" w:cs="Calibri"/>
        </w:rPr>
        <w:t xml:space="preserve"> all these departments</w:t>
      </w:r>
      <w:r w:rsidR="003620D5">
        <w:rPr>
          <w:rFonts w:ascii="Calibri" w:hAnsi="Calibri" w:cs="Calibri"/>
        </w:rPr>
        <w:t xml:space="preserve"> especially if the City faces fiscal problems</w:t>
      </w:r>
      <w:r w:rsidR="00853CB7">
        <w:rPr>
          <w:rFonts w:ascii="Calibri" w:hAnsi="Calibri" w:cs="Calibri"/>
        </w:rPr>
        <w:t>. The budget department usually den</w:t>
      </w:r>
      <w:r w:rsidR="00BC3AE8">
        <w:rPr>
          <w:rFonts w:ascii="Calibri" w:hAnsi="Calibri" w:cs="Calibri"/>
        </w:rPr>
        <w:t>ies</w:t>
      </w:r>
      <w:r w:rsidR="00853CB7">
        <w:rPr>
          <w:rFonts w:ascii="Calibri" w:hAnsi="Calibri" w:cs="Calibri"/>
        </w:rPr>
        <w:t xml:space="preserve"> new needs </w:t>
      </w:r>
      <w:r w:rsidR="00956700">
        <w:rPr>
          <w:rFonts w:ascii="Calibri" w:hAnsi="Calibri" w:cs="Calibri"/>
        </w:rPr>
        <w:t xml:space="preserve">requests </w:t>
      </w:r>
      <w:r w:rsidR="00853CB7">
        <w:rPr>
          <w:rFonts w:ascii="Calibri" w:hAnsi="Calibri" w:cs="Calibri"/>
        </w:rPr>
        <w:t>because of unavailability of funds.</w:t>
      </w:r>
      <w:r w:rsidR="00BC3AE8">
        <w:rPr>
          <w:rFonts w:ascii="Calibri" w:hAnsi="Calibri" w:cs="Calibri"/>
        </w:rPr>
        <w:t xml:space="preserve"> </w:t>
      </w:r>
      <w:r w:rsidR="00180E67" w:rsidRPr="00180E67">
        <w:rPr>
          <w:rFonts w:ascii="Calibri" w:hAnsi="Calibri" w:cs="Calibri"/>
        </w:rPr>
        <w:t>H</w:t>
      </w:r>
      <w:r w:rsidR="00BC3AE8" w:rsidRPr="00180E67">
        <w:rPr>
          <w:rFonts w:ascii="Calibri" w:hAnsi="Calibri" w:cs="Calibri"/>
        </w:rPr>
        <w:t>owever</w:t>
      </w:r>
      <w:r w:rsidR="00180E67" w:rsidRPr="00180E67">
        <w:rPr>
          <w:rFonts w:ascii="Calibri" w:hAnsi="Calibri" w:cs="Calibri"/>
        </w:rPr>
        <w:t>,</w:t>
      </w:r>
      <w:r w:rsidR="00853CB7" w:rsidRPr="00180E67">
        <w:rPr>
          <w:rFonts w:ascii="Calibri" w:hAnsi="Calibri" w:cs="Calibri"/>
        </w:rPr>
        <w:t xml:space="preserve"> </w:t>
      </w:r>
      <w:r w:rsidR="00180E67" w:rsidRPr="00180E67">
        <w:rPr>
          <w:rFonts w:ascii="Calibri" w:hAnsi="Calibri" w:cs="Calibri"/>
        </w:rPr>
        <w:t>d</w:t>
      </w:r>
      <w:r w:rsidR="00BC3AE8" w:rsidRPr="00180E67">
        <w:rPr>
          <w:rFonts w:ascii="Calibri" w:hAnsi="Calibri" w:cs="Calibri"/>
        </w:rPr>
        <w:t xml:space="preserve">ue to the potential </w:t>
      </w:r>
      <w:r w:rsidR="00180E67" w:rsidRPr="00180E67">
        <w:rPr>
          <w:rFonts w:ascii="Calibri" w:hAnsi="Calibri" w:cs="Calibri"/>
        </w:rPr>
        <w:t xml:space="preserve">earning ability </w:t>
      </w:r>
      <w:r w:rsidR="00BC3AE8" w:rsidRPr="00180E67">
        <w:rPr>
          <w:rFonts w:ascii="Calibri" w:hAnsi="Calibri" w:cs="Calibri"/>
        </w:rPr>
        <w:t>of</w:t>
      </w:r>
      <w:r w:rsidR="00853CB7" w:rsidRPr="00180E67">
        <w:rPr>
          <w:rFonts w:ascii="Calibri" w:hAnsi="Calibri" w:cs="Calibri"/>
        </w:rPr>
        <w:t xml:space="preserve"> this unique program</w:t>
      </w:r>
      <w:r w:rsidR="00180E67" w:rsidRPr="00180E67">
        <w:rPr>
          <w:rFonts w:ascii="Calibri" w:hAnsi="Calibri" w:cs="Calibri"/>
        </w:rPr>
        <w:t>,</w:t>
      </w:r>
      <w:r w:rsidR="00853CB7" w:rsidRPr="00180E67">
        <w:rPr>
          <w:rFonts w:ascii="Calibri" w:hAnsi="Calibri" w:cs="Calibri"/>
        </w:rPr>
        <w:t xml:space="preserve"> </w:t>
      </w:r>
      <w:r w:rsidR="00956700" w:rsidRPr="00180E67">
        <w:rPr>
          <w:rFonts w:ascii="Calibri" w:hAnsi="Calibri" w:cs="Calibri"/>
        </w:rPr>
        <w:t>the budget unit should have no probl</w:t>
      </w:r>
      <w:r w:rsidR="00672F85" w:rsidRPr="00180E67">
        <w:rPr>
          <w:rFonts w:ascii="Calibri" w:hAnsi="Calibri" w:cs="Calibri"/>
        </w:rPr>
        <w:t>ems reviewing and approving these requests.</w:t>
      </w:r>
      <w:r w:rsidR="00853FCF" w:rsidRPr="00180E67">
        <w:rPr>
          <w:rFonts w:ascii="Calibri" w:hAnsi="Calibri" w:cs="Calibri"/>
        </w:rPr>
        <w:t xml:space="preserve"> </w:t>
      </w:r>
    </w:p>
    <w:p w14:paraId="4056F271" w14:textId="72D16939" w:rsidR="00853FCF" w:rsidRDefault="00CA0090" w:rsidP="00B323DB">
      <w:pPr>
        <w:pStyle w:val="ListParagraph"/>
        <w:numPr>
          <w:ilvl w:val="0"/>
          <w:numId w:val="1"/>
        </w:numPr>
        <w:jc w:val="both"/>
        <w:rPr>
          <w:rFonts w:ascii="Calibri" w:hAnsi="Calibri" w:cs="Calibri"/>
        </w:rPr>
      </w:pPr>
      <w:r>
        <w:rPr>
          <w:rFonts w:ascii="Calibri" w:hAnsi="Calibri" w:cs="Calibri"/>
        </w:rPr>
        <w:t xml:space="preserve">The prospects of Telehealth should be explored as an alternate to the above two recommendations. </w:t>
      </w:r>
      <w:r w:rsidR="00FB7DAB">
        <w:rPr>
          <w:rFonts w:ascii="Calibri" w:hAnsi="Calibri" w:cs="Calibri"/>
        </w:rPr>
        <w:t xml:space="preserve">In an age of technological advancement, it would be </w:t>
      </w:r>
      <w:r w:rsidR="00BC3AE8">
        <w:rPr>
          <w:rFonts w:ascii="Calibri" w:hAnsi="Calibri" w:cs="Calibri"/>
        </w:rPr>
        <w:t>a disadvantage to</w:t>
      </w:r>
      <w:r w:rsidR="00FB7DAB">
        <w:rPr>
          <w:rFonts w:ascii="Calibri" w:hAnsi="Calibri" w:cs="Calibri"/>
        </w:rPr>
        <w:t xml:space="preserve"> not explore this avenue as an alternate option. </w:t>
      </w:r>
      <w:r w:rsidR="00D8716D">
        <w:rPr>
          <w:rFonts w:ascii="Calibri" w:hAnsi="Calibri" w:cs="Calibri"/>
        </w:rPr>
        <w:t>Telehealth is the</w:t>
      </w:r>
      <w:r w:rsidR="00B323DB">
        <w:rPr>
          <w:rFonts w:ascii="Calibri" w:hAnsi="Calibri" w:cs="Calibri"/>
        </w:rPr>
        <w:t xml:space="preserve"> process by which the physician </w:t>
      </w:r>
      <w:r w:rsidR="00D8716D">
        <w:rPr>
          <w:rFonts w:ascii="Calibri" w:hAnsi="Calibri" w:cs="Calibri"/>
        </w:rPr>
        <w:lastRenderedPageBreak/>
        <w:t xml:space="preserve">remotely </w:t>
      </w:r>
      <w:r w:rsidR="00B323DB">
        <w:rPr>
          <w:rFonts w:ascii="Calibri" w:hAnsi="Calibri" w:cs="Calibri"/>
        </w:rPr>
        <w:t>observe</w:t>
      </w:r>
      <w:r>
        <w:rPr>
          <w:rFonts w:ascii="Calibri" w:hAnsi="Calibri" w:cs="Calibri"/>
        </w:rPr>
        <w:t>s</w:t>
      </w:r>
      <w:r w:rsidR="00B323DB">
        <w:rPr>
          <w:rFonts w:ascii="Calibri" w:hAnsi="Calibri" w:cs="Calibri"/>
        </w:rPr>
        <w:t xml:space="preserve"> the student as the therapist demonstrate the need for service via video conferencing. </w:t>
      </w:r>
      <w:r w:rsidR="00914ED7">
        <w:rPr>
          <w:rFonts w:ascii="Calibri" w:hAnsi="Calibri" w:cs="Calibri"/>
        </w:rPr>
        <w:t xml:space="preserve"> This alternative </w:t>
      </w:r>
      <w:r w:rsidR="00E56A0B">
        <w:rPr>
          <w:rFonts w:ascii="Calibri" w:hAnsi="Calibri" w:cs="Calibri"/>
        </w:rPr>
        <w:t>is ne</w:t>
      </w:r>
      <w:r w:rsidR="00BB64A3">
        <w:rPr>
          <w:rFonts w:ascii="Calibri" w:hAnsi="Calibri" w:cs="Calibri"/>
        </w:rPr>
        <w:t xml:space="preserve">w to the agency and </w:t>
      </w:r>
      <w:r w:rsidR="00914ED7">
        <w:rPr>
          <w:rFonts w:ascii="Calibri" w:hAnsi="Calibri" w:cs="Calibri"/>
        </w:rPr>
        <w:t xml:space="preserve">will require the employment of 1 administrative staff to follow-up with schools that have students absent on the day(s) the physician visited. The </w:t>
      </w:r>
      <w:r w:rsidR="00180E67">
        <w:rPr>
          <w:rFonts w:ascii="Calibri" w:hAnsi="Calibri" w:cs="Calibri"/>
        </w:rPr>
        <w:t xml:space="preserve">administrative </w:t>
      </w:r>
      <w:r w:rsidR="00914ED7">
        <w:rPr>
          <w:rFonts w:ascii="Calibri" w:hAnsi="Calibri" w:cs="Calibri"/>
        </w:rPr>
        <w:t xml:space="preserve">staff will schedule </w:t>
      </w:r>
      <w:r w:rsidR="0010260A">
        <w:rPr>
          <w:rFonts w:ascii="Calibri" w:hAnsi="Calibri" w:cs="Calibri"/>
        </w:rPr>
        <w:t xml:space="preserve">video </w:t>
      </w:r>
      <w:r w:rsidR="008E5F5F">
        <w:rPr>
          <w:rFonts w:ascii="Calibri" w:hAnsi="Calibri" w:cs="Calibri"/>
        </w:rPr>
        <w:t>tele</w:t>
      </w:r>
      <w:r w:rsidR="0010260A">
        <w:rPr>
          <w:rFonts w:ascii="Calibri" w:hAnsi="Calibri" w:cs="Calibri"/>
        </w:rPr>
        <w:t>conferences with the ther</w:t>
      </w:r>
      <w:r w:rsidR="00914ED7">
        <w:rPr>
          <w:rFonts w:ascii="Calibri" w:hAnsi="Calibri" w:cs="Calibri"/>
        </w:rPr>
        <w:t>apist and</w:t>
      </w:r>
      <w:r w:rsidR="008C6191">
        <w:rPr>
          <w:rFonts w:ascii="Calibri" w:hAnsi="Calibri" w:cs="Calibri"/>
        </w:rPr>
        <w:t xml:space="preserve"> the </w:t>
      </w:r>
      <w:r w:rsidR="00914ED7">
        <w:rPr>
          <w:rFonts w:ascii="Calibri" w:hAnsi="Calibri" w:cs="Calibri"/>
        </w:rPr>
        <w:t xml:space="preserve">physician. </w:t>
      </w:r>
      <w:r w:rsidR="008F0E0D">
        <w:rPr>
          <w:rFonts w:ascii="Calibri" w:hAnsi="Calibri" w:cs="Calibri"/>
        </w:rPr>
        <w:t>Be</w:t>
      </w:r>
      <w:r w:rsidR="00767A88">
        <w:rPr>
          <w:rFonts w:ascii="Calibri" w:hAnsi="Calibri" w:cs="Calibri"/>
        </w:rPr>
        <w:t>fore each</w:t>
      </w:r>
      <w:r w:rsidR="008F0E0D">
        <w:rPr>
          <w:rFonts w:ascii="Calibri" w:hAnsi="Calibri" w:cs="Calibri"/>
        </w:rPr>
        <w:t xml:space="preserve"> conference, the medical practitioner should review the student’s IEP and </w:t>
      </w:r>
      <w:r w:rsidR="00657DF8">
        <w:rPr>
          <w:rFonts w:ascii="Calibri" w:hAnsi="Calibri" w:cs="Calibri"/>
        </w:rPr>
        <w:t>Special Education Student Information System (</w:t>
      </w:r>
      <w:r w:rsidR="008F0E0D">
        <w:rPr>
          <w:rFonts w:ascii="Calibri" w:hAnsi="Calibri" w:cs="Calibri"/>
        </w:rPr>
        <w:t>SESIS</w:t>
      </w:r>
      <w:r w:rsidR="00657DF8">
        <w:rPr>
          <w:rFonts w:ascii="Calibri" w:hAnsi="Calibri" w:cs="Calibri"/>
        </w:rPr>
        <w:t>)</w:t>
      </w:r>
      <w:r w:rsidR="008F0E0D">
        <w:rPr>
          <w:rFonts w:ascii="Calibri" w:hAnsi="Calibri" w:cs="Calibri"/>
        </w:rPr>
        <w:t xml:space="preserve"> for relevant documentation </w:t>
      </w:r>
      <w:r w:rsidR="00957044">
        <w:rPr>
          <w:rFonts w:ascii="Calibri" w:hAnsi="Calibri" w:cs="Calibri"/>
        </w:rPr>
        <w:t>essential</w:t>
      </w:r>
      <w:r w:rsidR="008F0E0D">
        <w:rPr>
          <w:rFonts w:ascii="Calibri" w:hAnsi="Calibri" w:cs="Calibri"/>
        </w:rPr>
        <w:t xml:space="preserve"> to the video session. </w:t>
      </w:r>
      <w:r w:rsidR="0010260A">
        <w:rPr>
          <w:rFonts w:ascii="Calibri" w:hAnsi="Calibri" w:cs="Calibri"/>
        </w:rPr>
        <w:t>The physician</w:t>
      </w:r>
      <w:r w:rsidR="0007735C">
        <w:rPr>
          <w:rFonts w:ascii="Calibri" w:hAnsi="Calibri" w:cs="Calibri"/>
        </w:rPr>
        <w:t xml:space="preserve"> then </w:t>
      </w:r>
      <w:r w:rsidR="0010260A">
        <w:rPr>
          <w:rFonts w:ascii="Calibri" w:hAnsi="Calibri" w:cs="Calibri"/>
        </w:rPr>
        <w:t>write</w:t>
      </w:r>
      <w:r w:rsidR="0007735C">
        <w:rPr>
          <w:rFonts w:ascii="Calibri" w:hAnsi="Calibri" w:cs="Calibri"/>
        </w:rPr>
        <w:t>s</w:t>
      </w:r>
      <w:r w:rsidR="0010260A">
        <w:rPr>
          <w:rFonts w:ascii="Calibri" w:hAnsi="Calibri" w:cs="Calibri"/>
        </w:rPr>
        <w:t xml:space="preserve"> the </w:t>
      </w:r>
      <w:r w:rsidR="002D2E06">
        <w:rPr>
          <w:rFonts w:ascii="Calibri" w:hAnsi="Calibri" w:cs="Calibri"/>
        </w:rPr>
        <w:t>appropriate</w:t>
      </w:r>
      <w:r w:rsidR="00767A88">
        <w:rPr>
          <w:rFonts w:ascii="Calibri" w:hAnsi="Calibri" w:cs="Calibri"/>
        </w:rPr>
        <w:t xml:space="preserve"> </w:t>
      </w:r>
      <w:r w:rsidR="00180E67">
        <w:rPr>
          <w:rFonts w:ascii="Calibri" w:hAnsi="Calibri" w:cs="Calibri"/>
        </w:rPr>
        <w:t>order for</w:t>
      </w:r>
      <w:r w:rsidR="00767A88">
        <w:rPr>
          <w:rFonts w:ascii="Calibri" w:hAnsi="Calibri" w:cs="Calibri"/>
        </w:rPr>
        <w:t xml:space="preserve"> the therapy services (OT or PT) </w:t>
      </w:r>
      <w:r w:rsidR="0010260A">
        <w:rPr>
          <w:rFonts w:ascii="Calibri" w:hAnsi="Calibri" w:cs="Calibri"/>
        </w:rPr>
        <w:t>after the video session.</w:t>
      </w:r>
      <w:r w:rsidR="00AC75D7">
        <w:rPr>
          <w:rFonts w:ascii="Calibri" w:hAnsi="Calibri" w:cs="Calibri"/>
        </w:rPr>
        <w:t xml:space="preserve"> </w:t>
      </w:r>
    </w:p>
    <w:p w14:paraId="629FB151" w14:textId="763A7E28" w:rsidR="00767A88" w:rsidRPr="0007735C" w:rsidRDefault="0007735C" w:rsidP="00767A88">
      <w:pPr>
        <w:jc w:val="both"/>
        <w:rPr>
          <w:rFonts w:ascii="Calibri" w:hAnsi="Calibri" w:cs="Calibri"/>
        </w:rPr>
      </w:pPr>
      <w:r w:rsidRPr="0007735C">
        <w:rPr>
          <w:rFonts w:ascii="Calibri" w:hAnsi="Calibri" w:cs="Calibri"/>
        </w:rPr>
        <w:t xml:space="preserve">Using </w:t>
      </w:r>
      <w:r w:rsidR="00FB7DAB" w:rsidRPr="0007735C">
        <w:rPr>
          <w:rFonts w:ascii="Calibri" w:hAnsi="Calibri" w:cs="Calibri"/>
        </w:rPr>
        <w:t xml:space="preserve">a pilot program would </w:t>
      </w:r>
      <w:r w:rsidRPr="0007735C">
        <w:rPr>
          <w:rFonts w:ascii="Calibri" w:hAnsi="Calibri" w:cs="Calibri"/>
        </w:rPr>
        <w:t>require</w:t>
      </w:r>
      <w:r w:rsidR="00FB7DAB" w:rsidRPr="0007735C">
        <w:rPr>
          <w:rFonts w:ascii="Calibri" w:hAnsi="Calibri" w:cs="Calibri"/>
        </w:rPr>
        <w:t xml:space="preserve"> experienced</w:t>
      </w:r>
      <w:r w:rsidR="004A487C" w:rsidRPr="0007735C">
        <w:rPr>
          <w:rFonts w:ascii="Calibri" w:hAnsi="Calibri" w:cs="Calibri"/>
        </w:rPr>
        <w:t xml:space="preserve"> physician</w:t>
      </w:r>
      <w:r w:rsidR="00FB7DAB" w:rsidRPr="0007735C">
        <w:rPr>
          <w:rFonts w:ascii="Calibri" w:hAnsi="Calibri" w:cs="Calibri"/>
        </w:rPr>
        <w:t>s</w:t>
      </w:r>
      <w:r w:rsidR="00DE781E" w:rsidRPr="0007735C">
        <w:rPr>
          <w:rFonts w:ascii="Calibri" w:hAnsi="Calibri" w:cs="Calibri"/>
        </w:rPr>
        <w:t xml:space="preserve"> which</w:t>
      </w:r>
      <w:r w:rsidR="004A487C" w:rsidRPr="0007735C">
        <w:rPr>
          <w:rFonts w:ascii="Calibri" w:hAnsi="Calibri" w:cs="Calibri"/>
        </w:rPr>
        <w:t xml:space="preserve"> should be identified from within the program </w:t>
      </w:r>
      <w:r w:rsidR="003E3F51" w:rsidRPr="0007735C">
        <w:rPr>
          <w:rFonts w:ascii="Calibri" w:hAnsi="Calibri" w:cs="Calibri"/>
        </w:rPr>
        <w:t xml:space="preserve">to </w:t>
      </w:r>
      <w:r w:rsidR="00FB7DAB" w:rsidRPr="0007735C">
        <w:rPr>
          <w:rFonts w:ascii="Calibri" w:hAnsi="Calibri" w:cs="Calibri"/>
        </w:rPr>
        <w:t>prevent delays</w:t>
      </w:r>
      <w:r w:rsidR="004A487C" w:rsidRPr="0007735C">
        <w:rPr>
          <w:rFonts w:ascii="Calibri" w:hAnsi="Calibri" w:cs="Calibri"/>
        </w:rPr>
        <w:t xml:space="preserve">. </w:t>
      </w:r>
      <w:r w:rsidR="00DE781E" w:rsidRPr="0007735C">
        <w:rPr>
          <w:rFonts w:ascii="Calibri" w:hAnsi="Calibri" w:cs="Calibri"/>
        </w:rPr>
        <w:t xml:space="preserve">One clinician </w:t>
      </w:r>
      <w:r w:rsidR="00AA612A" w:rsidRPr="0007735C">
        <w:rPr>
          <w:rFonts w:ascii="Calibri" w:hAnsi="Calibri" w:cs="Calibri"/>
        </w:rPr>
        <w:t xml:space="preserve">who is currently central based with HIPPA approved office space should be selected. </w:t>
      </w:r>
      <w:r w:rsidR="002703E9">
        <w:rPr>
          <w:rFonts w:ascii="Calibri" w:hAnsi="Calibri" w:cs="Calibri"/>
        </w:rPr>
        <w:t>Perhaps</w:t>
      </w:r>
      <w:r w:rsidR="00AA612A" w:rsidRPr="0007735C">
        <w:rPr>
          <w:rFonts w:ascii="Calibri" w:hAnsi="Calibri" w:cs="Calibri"/>
        </w:rPr>
        <w:t>, one of the lower</w:t>
      </w:r>
      <w:r w:rsidR="004A487C" w:rsidRPr="0007735C">
        <w:rPr>
          <w:rFonts w:ascii="Calibri" w:hAnsi="Calibri" w:cs="Calibri"/>
        </w:rPr>
        <w:t xml:space="preserve"> performing </w:t>
      </w:r>
      <w:r w:rsidR="002703E9" w:rsidRPr="0007735C">
        <w:rPr>
          <w:rFonts w:ascii="Calibri" w:hAnsi="Calibri" w:cs="Calibri"/>
        </w:rPr>
        <w:t>physicians</w:t>
      </w:r>
      <w:r w:rsidR="004A487C" w:rsidRPr="0007735C">
        <w:rPr>
          <w:rFonts w:ascii="Calibri" w:hAnsi="Calibri" w:cs="Calibri"/>
        </w:rPr>
        <w:t xml:space="preserve"> can be re-assigned</w:t>
      </w:r>
      <w:r w:rsidR="00FB7DAB" w:rsidRPr="0007735C">
        <w:rPr>
          <w:rFonts w:ascii="Calibri" w:hAnsi="Calibri" w:cs="Calibri"/>
        </w:rPr>
        <w:t xml:space="preserve"> to this duty in the interim</w:t>
      </w:r>
      <w:r w:rsidR="004A487C" w:rsidRPr="0007735C">
        <w:rPr>
          <w:rFonts w:ascii="Calibri" w:hAnsi="Calibri" w:cs="Calibri"/>
        </w:rPr>
        <w:t>.</w:t>
      </w:r>
      <w:r w:rsidR="00FB7DAB" w:rsidRPr="0007735C">
        <w:rPr>
          <w:rFonts w:ascii="Calibri" w:hAnsi="Calibri" w:cs="Calibri"/>
        </w:rPr>
        <w:t xml:space="preserve"> This opportunity could provide insights on the development of the telehealth initiative.</w:t>
      </w:r>
      <w:r w:rsidR="00AA612A" w:rsidRPr="0007735C">
        <w:rPr>
          <w:rFonts w:ascii="Calibri" w:hAnsi="Calibri" w:cs="Calibri"/>
        </w:rPr>
        <w:t xml:space="preserve"> The other clinician is the supervising physician who is in the office two days </w:t>
      </w:r>
      <w:r w:rsidR="00AC75D7" w:rsidRPr="0007735C">
        <w:rPr>
          <w:rFonts w:ascii="Calibri" w:hAnsi="Calibri" w:cs="Calibri"/>
        </w:rPr>
        <w:t xml:space="preserve">most weeks </w:t>
      </w:r>
      <w:r w:rsidR="00AA612A" w:rsidRPr="0007735C">
        <w:rPr>
          <w:rFonts w:ascii="Calibri" w:hAnsi="Calibri" w:cs="Calibri"/>
        </w:rPr>
        <w:t>and can spend some time on this initiative. The supervisor can provide valuable input f</w:t>
      </w:r>
      <w:r w:rsidR="00BF460F" w:rsidRPr="0007735C">
        <w:rPr>
          <w:rFonts w:ascii="Calibri" w:hAnsi="Calibri" w:cs="Calibri"/>
        </w:rPr>
        <w:t>rom</w:t>
      </w:r>
      <w:r w:rsidR="00AA612A" w:rsidRPr="0007735C">
        <w:rPr>
          <w:rFonts w:ascii="Calibri" w:hAnsi="Calibri" w:cs="Calibri"/>
        </w:rPr>
        <w:t xml:space="preserve"> practical experience in the development of this program. The duties and responsibilities would be </w:t>
      </w:r>
      <w:r w:rsidR="00BF460F" w:rsidRPr="0007735C">
        <w:rPr>
          <w:rFonts w:ascii="Calibri" w:hAnsi="Calibri" w:cs="Calibri"/>
        </w:rPr>
        <w:t xml:space="preserve">somewhat </w:t>
      </w:r>
      <w:r w:rsidR="00AA612A" w:rsidRPr="0007735C">
        <w:rPr>
          <w:rFonts w:ascii="Calibri" w:hAnsi="Calibri" w:cs="Calibri"/>
        </w:rPr>
        <w:t xml:space="preserve">different in that these clinicians are not required to </w:t>
      </w:r>
      <w:r w:rsidR="006330D8" w:rsidRPr="0007735C">
        <w:rPr>
          <w:rFonts w:ascii="Calibri" w:hAnsi="Calibri" w:cs="Calibri"/>
        </w:rPr>
        <w:t xml:space="preserve">physically </w:t>
      </w:r>
      <w:r w:rsidR="00AA612A" w:rsidRPr="0007735C">
        <w:rPr>
          <w:rFonts w:ascii="Calibri" w:hAnsi="Calibri" w:cs="Calibri"/>
        </w:rPr>
        <w:t>visit schools</w:t>
      </w:r>
      <w:r w:rsidR="006330D8" w:rsidRPr="0007735C">
        <w:rPr>
          <w:rFonts w:ascii="Calibri" w:hAnsi="Calibri" w:cs="Calibri"/>
        </w:rPr>
        <w:t xml:space="preserve"> for this project</w:t>
      </w:r>
      <w:r w:rsidR="00AA612A" w:rsidRPr="0007735C">
        <w:rPr>
          <w:rFonts w:ascii="Calibri" w:hAnsi="Calibri" w:cs="Calibri"/>
        </w:rPr>
        <w:t>.</w:t>
      </w:r>
    </w:p>
    <w:p w14:paraId="23624938" w14:textId="77777777" w:rsidR="00695852" w:rsidRDefault="00695852" w:rsidP="00767A88">
      <w:pPr>
        <w:jc w:val="both"/>
        <w:rPr>
          <w:rFonts w:ascii="Calibri" w:hAnsi="Calibri" w:cs="Calibri"/>
        </w:rPr>
      </w:pPr>
      <w:r>
        <w:rPr>
          <w:rFonts w:ascii="Calibri" w:hAnsi="Calibri" w:cs="Calibri"/>
        </w:rPr>
        <w:t>Cost Factor</w:t>
      </w:r>
    </w:p>
    <w:p w14:paraId="0C9FA630" w14:textId="012646E0" w:rsidR="00695852" w:rsidRDefault="00695852" w:rsidP="00767A88">
      <w:pPr>
        <w:jc w:val="both"/>
        <w:rPr>
          <w:rFonts w:ascii="Calibri" w:hAnsi="Calibri" w:cs="Calibri"/>
        </w:rPr>
      </w:pPr>
      <w:r>
        <w:rPr>
          <w:rFonts w:ascii="Calibri" w:hAnsi="Calibri" w:cs="Calibri"/>
        </w:rPr>
        <w:t>The</w:t>
      </w:r>
      <w:r w:rsidR="00416F11">
        <w:rPr>
          <w:rFonts w:ascii="Calibri" w:hAnsi="Calibri" w:cs="Calibri"/>
        </w:rPr>
        <w:t xml:space="preserve"> </w:t>
      </w:r>
      <w:r>
        <w:rPr>
          <w:rFonts w:ascii="Calibri" w:hAnsi="Calibri" w:cs="Calibri"/>
        </w:rPr>
        <w:t>clinicians are already on staff</w:t>
      </w:r>
      <w:r w:rsidR="00416F11">
        <w:rPr>
          <w:rFonts w:ascii="Calibri" w:hAnsi="Calibri" w:cs="Calibri"/>
        </w:rPr>
        <w:t xml:space="preserve">. However, one physician workstation is already HIPPA compliance while the other will need a HIPPA compliance workstation or office for these video conferencing sessions. A temporary re-assignment maybe best for the pilot. </w:t>
      </w:r>
      <w:r>
        <w:rPr>
          <w:rFonts w:ascii="Calibri" w:hAnsi="Calibri" w:cs="Calibri"/>
        </w:rPr>
        <w:t xml:space="preserve">Therefore, the startup cost of this initiative </w:t>
      </w:r>
      <w:r w:rsidR="0007735C">
        <w:rPr>
          <w:rFonts w:ascii="Calibri" w:hAnsi="Calibri" w:cs="Calibri"/>
        </w:rPr>
        <w:t>would be</w:t>
      </w:r>
      <w:r>
        <w:rPr>
          <w:rFonts w:ascii="Calibri" w:hAnsi="Calibri" w:cs="Calibri"/>
        </w:rPr>
        <w:t xml:space="preserve"> minimize</w:t>
      </w:r>
      <w:r w:rsidR="0007735C">
        <w:rPr>
          <w:rFonts w:ascii="Calibri" w:hAnsi="Calibri" w:cs="Calibri"/>
        </w:rPr>
        <w:t>d</w:t>
      </w:r>
      <w:r>
        <w:rPr>
          <w:rFonts w:ascii="Calibri" w:hAnsi="Calibri" w:cs="Calibri"/>
        </w:rPr>
        <w:t xml:space="preserve">. </w:t>
      </w:r>
      <w:r w:rsidR="00937F94">
        <w:rPr>
          <w:rFonts w:ascii="Calibri" w:hAnsi="Calibri" w:cs="Calibri"/>
        </w:rPr>
        <w:t xml:space="preserve">However, training for medical practitioners and school-based clinicians may incur </w:t>
      </w:r>
      <w:r w:rsidR="00416F11">
        <w:rPr>
          <w:rFonts w:ascii="Calibri" w:hAnsi="Calibri" w:cs="Calibri"/>
        </w:rPr>
        <w:t xml:space="preserve">a </w:t>
      </w:r>
      <w:r w:rsidR="00937F94">
        <w:rPr>
          <w:rFonts w:ascii="Calibri" w:hAnsi="Calibri" w:cs="Calibri"/>
        </w:rPr>
        <w:t>cost if these trainings are not done internally.</w:t>
      </w:r>
    </w:p>
    <w:p w14:paraId="63B745CB" w14:textId="77777777" w:rsidR="00AA612A" w:rsidRDefault="00AA612A" w:rsidP="00767A88">
      <w:pPr>
        <w:jc w:val="both"/>
        <w:rPr>
          <w:rFonts w:ascii="Calibri" w:hAnsi="Calibri" w:cs="Calibri"/>
        </w:rPr>
      </w:pPr>
      <w:r>
        <w:rPr>
          <w:rFonts w:ascii="Calibri" w:hAnsi="Calibri" w:cs="Calibri"/>
        </w:rPr>
        <w:t xml:space="preserve">Without doubt, this option has some challenges because it is a new </w:t>
      </w:r>
      <w:r w:rsidR="005168EB">
        <w:rPr>
          <w:rFonts w:ascii="Calibri" w:hAnsi="Calibri" w:cs="Calibri"/>
        </w:rPr>
        <w:t>initiative</w:t>
      </w:r>
      <w:r>
        <w:rPr>
          <w:rFonts w:ascii="Calibri" w:hAnsi="Calibri" w:cs="Calibri"/>
        </w:rPr>
        <w:t>:</w:t>
      </w:r>
    </w:p>
    <w:p w14:paraId="08FD6C18" w14:textId="56EF46A6" w:rsidR="00AA612A" w:rsidRPr="00AA3CA3" w:rsidRDefault="00AA3CA3" w:rsidP="00AA3CA3">
      <w:pPr>
        <w:pStyle w:val="ListParagraph"/>
        <w:numPr>
          <w:ilvl w:val="0"/>
          <w:numId w:val="12"/>
        </w:numPr>
        <w:spacing w:line="240" w:lineRule="auto"/>
        <w:jc w:val="both"/>
        <w:rPr>
          <w:rFonts w:ascii="Calibri" w:hAnsi="Calibri" w:cs="Calibri"/>
        </w:rPr>
      </w:pPr>
      <w:r w:rsidRPr="00AA3CA3">
        <w:rPr>
          <w:rFonts w:ascii="Calibri" w:hAnsi="Calibri" w:cs="Calibri"/>
        </w:rPr>
        <w:t xml:space="preserve">Union approvals – </w:t>
      </w:r>
      <w:r w:rsidR="000116AC">
        <w:rPr>
          <w:rFonts w:ascii="Calibri" w:hAnsi="Calibri" w:cs="Calibri"/>
        </w:rPr>
        <w:t>Therapists are UFT members</w:t>
      </w:r>
      <w:r w:rsidRPr="00AA3CA3">
        <w:rPr>
          <w:rFonts w:ascii="Calibri" w:hAnsi="Calibri" w:cs="Calibri"/>
        </w:rPr>
        <w:t xml:space="preserve"> &amp; </w:t>
      </w:r>
      <w:r w:rsidR="000116AC">
        <w:rPr>
          <w:rFonts w:ascii="Calibri" w:hAnsi="Calibri" w:cs="Calibri"/>
        </w:rPr>
        <w:t xml:space="preserve">School administrators are </w:t>
      </w:r>
      <w:r w:rsidR="007635BE">
        <w:rPr>
          <w:rFonts w:ascii="Calibri" w:hAnsi="Calibri" w:cs="Calibri"/>
        </w:rPr>
        <w:t xml:space="preserve">CSA </w:t>
      </w:r>
      <w:r w:rsidR="000116AC">
        <w:rPr>
          <w:rFonts w:ascii="Calibri" w:hAnsi="Calibri" w:cs="Calibri"/>
        </w:rPr>
        <w:t>member</w:t>
      </w:r>
      <w:r w:rsidR="007635BE">
        <w:rPr>
          <w:rFonts w:ascii="Calibri" w:hAnsi="Calibri" w:cs="Calibri"/>
        </w:rPr>
        <w:t>s</w:t>
      </w:r>
    </w:p>
    <w:p w14:paraId="7D28850B" w14:textId="77777777" w:rsidR="00AA3CA3" w:rsidRPr="00AA3CA3" w:rsidRDefault="00AA3CA3" w:rsidP="00AA3CA3">
      <w:pPr>
        <w:pStyle w:val="ListParagraph"/>
        <w:numPr>
          <w:ilvl w:val="0"/>
          <w:numId w:val="12"/>
        </w:numPr>
        <w:spacing w:line="240" w:lineRule="auto"/>
        <w:jc w:val="both"/>
        <w:rPr>
          <w:rFonts w:ascii="Calibri" w:hAnsi="Calibri" w:cs="Calibri"/>
        </w:rPr>
      </w:pPr>
      <w:r w:rsidRPr="00AA3CA3">
        <w:rPr>
          <w:rFonts w:ascii="Calibri" w:hAnsi="Calibri" w:cs="Calibri"/>
        </w:rPr>
        <w:t>Internet access at the school level</w:t>
      </w:r>
    </w:p>
    <w:p w14:paraId="1684FD45" w14:textId="77777777" w:rsidR="00AA3CA3" w:rsidRDefault="00AA3CA3" w:rsidP="00AA3CA3">
      <w:pPr>
        <w:pStyle w:val="ListParagraph"/>
        <w:numPr>
          <w:ilvl w:val="0"/>
          <w:numId w:val="12"/>
        </w:numPr>
        <w:spacing w:line="240" w:lineRule="auto"/>
        <w:jc w:val="both"/>
        <w:rPr>
          <w:rFonts w:ascii="Calibri" w:hAnsi="Calibri" w:cs="Calibri"/>
        </w:rPr>
      </w:pPr>
      <w:r w:rsidRPr="00AA3CA3">
        <w:rPr>
          <w:rFonts w:ascii="Calibri" w:hAnsi="Calibri" w:cs="Calibri"/>
        </w:rPr>
        <w:t>HIPPA compliance</w:t>
      </w:r>
    </w:p>
    <w:p w14:paraId="06F506BA" w14:textId="77777777" w:rsidR="00AA3CA3" w:rsidRPr="00AA3CA3" w:rsidRDefault="00AA3CA3" w:rsidP="00AA3CA3">
      <w:pPr>
        <w:pStyle w:val="ListParagraph"/>
        <w:numPr>
          <w:ilvl w:val="0"/>
          <w:numId w:val="12"/>
        </w:numPr>
        <w:spacing w:line="240" w:lineRule="auto"/>
        <w:jc w:val="both"/>
        <w:rPr>
          <w:rFonts w:ascii="Calibri" w:hAnsi="Calibri" w:cs="Calibri"/>
        </w:rPr>
      </w:pPr>
      <w:r>
        <w:rPr>
          <w:rFonts w:ascii="Calibri" w:hAnsi="Calibri" w:cs="Calibri"/>
        </w:rPr>
        <w:t>Parent cooperation</w:t>
      </w:r>
    </w:p>
    <w:p w14:paraId="010FCC11" w14:textId="77777777" w:rsidR="00AA3CA3" w:rsidRPr="00AA3CA3" w:rsidRDefault="00AA3CA3" w:rsidP="00AA3CA3">
      <w:pPr>
        <w:pStyle w:val="ListParagraph"/>
        <w:numPr>
          <w:ilvl w:val="0"/>
          <w:numId w:val="12"/>
        </w:numPr>
        <w:spacing w:line="240" w:lineRule="auto"/>
        <w:jc w:val="both"/>
        <w:rPr>
          <w:rFonts w:ascii="Calibri" w:hAnsi="Calibri" w:cs="Calibri"/>
        </w:rPr>
      </w:pPr>
      <w:r w:rsidRPr="00AA3CA3">
        <w:rPr>
          <w:rFonts w:ascii="Calibri" w:hAnsi="Calibri" w:cs="Calibri"/>
        </w:rPr>
        <w:t>Students’ availability</w:t>
      </w:r>
    </w:p>
    <w:p w14:paraId="56144805" w14:textId="77777777" w:rsidR="00AA3CA3" w:rsidRPr="00AA3CA3" w:rsidRDefault="00AA3CA3" w:rsidP="00AA3CA3">
      <w:pPr>
        <w:pStyle w:val="ListParagraph"/>
        <w:numPr>
          <w:ilvl w:val="0"/>
          <w:numId w:val="12"/>
        </w:numPr>
        <w:spacing w:line="240" w:lineRule="auto"/>
        <w:jc w:val="both"/>
        <w:rPr>
          <w:rFonts w:ascii="Calibri" w:hAnsi="Calibri" w:cs="Calibri"/>
        </w:rPr>
      </w:pPr>
      <w:r w:rsidRPr="00AA3CA3">
        <w:rPr>
          <w:rFonts w:ascii="Calibri" w:hAnsi="Calibri" w:cs="Calibri"/>
        </w:rPr>
        <w:t>OT/PT technologically savvy</w:t>
      </w:r>
    </w:p>
    <w:p w14:paraId="631BC939" w14:textId="77777777" w:rsidR="00AA3CA3" w:rsidRDefault="00AA3CA3" w:rsidP="00AA3CA3">
      <w:pPr>
        <w:pStyle w:val="ListParagraph"/>
        <w:numPr>
          <w:ilvl w:val="0"/>
          <w:numId w:val="12"/>
        </w:numPr>
        <w:spacing w:line="240" w:lineRule="auto"/>
        <w:jc w:val="both"/>
        <w:rPr>
          <w:rFonts w:ascii="Calibri" w:hAnsi="Calibri" w:cs="Calibri"/>
        </w:rPr>
      </w:pPr>
      <w:r w:rsidRPr="00AA3CA3">
        <w:rPr>
          <w:rFonts w:ascii="Calibri" w:hAnsi="Calibri" w:cs="Calibri"/>
        </w:rPr>
        <w:t xml:space="preserve">Funding for program development </w:t>
      </w:r>
    </w:p>
    <w:p w14:paraId="3C037A1B" w14:textId="77777777" w:rsidR="00AA3CA3" w:rsidRPr="00AA3CA3" w:rsidRDefault="00AA3CA3" w:rsidP="00AA3CA3">
      <w:pPr>
        <w:pStyle w:val="ListParagraph"/>
        <w:numPr>
          <w:ilvl w:val="0"/>
          <w:numId w:val="12"/>
        </w:numPr>
        <w:spacing w:line="240" w:lineRule="auto"/>
        <w:jc w:val="both"/>
        <w:rPr>
          <w:rFonts w:ascii="Calibri" w:hAnsi="Calibri" w:cs="Calibri"/>
        </w:rPr>
      </w:pPr>
      <w:r>
        <w:rPr>
          <w:rFonts w:ascii="Calibri" w:hAnsi="Calibri" w:cs="Calibri"/>
        </w:rPr>
        <w:t>Defined program policies</w:t>
      </w:r>
    </w:p>
    <w:p w14:paraId="6C7034F3" w14:textId="1B11CF16" w:rsidR="00FB7DAB" w:rsidRPr="00767A88" w:rsidRDefault="000E423D" w:rsidP="000E423D">
      <w:pPr>
        <w:jc w:val="both"/>
        <w:rPr>
          <w:rFonts w:ascii="Calibri" w:hAnsi="Calibri" w:cs="Calibri"/>
        </w:rPr>
      </w:pPr>
      <w:r>
        <w:rPr>
          <w:rFonts w:ascii="Calibri" w:hAnsi="Calibri" w:cs="Calibri"/>
        </w:rPr>
        <w:t>This option, maybe viewed as economical and time</w:t>
      </w:r>
      <w:r w:rsidR="0007735C">
        <w:rPr>
          <w:rFonts w:ascii="Calibri" w:hAnsi="Calibri" w:cs="Calibri"/>
        </w:rPr>
        <w:t xml:space="preserve"> saving</w:t>
      </w:r>
      <w:r>
        <w:rPr>
          <w:rFonts w:ascii="Calibri" w:hAnsi="Calibri" w:cs="Calibri"/>
        </w:rPr>
        <w:t xml:space="preserve"> but this is not necessarily so if students are not really been observed. It is most likely that therapy is conducted on a one-to-one basis instead of group </w:t>
      </w:r>
      <w:r w:rsidR="00982006">
        <w:rPr>
          <w:rFonts w:ascii="Calibri" w:hAnsi="Calibri" w:cs="Calibri"/>
        </w:rPr>
        <w:t>sessions</w:t>
      </w:r>
      <w:r>
        <w:rPr>
          <w:rFonts w:ascii="Calibri" w:hAnsi="Calibri" w:cs="Calibri"/>
        </w:rPr>
        <w:t xml:space="preserve"> because of the HIPPA requirement and the limited view of video conferencing. The retrieval and return of each student to their respective classrooms can be time consuming if </w:t>
      </w:r>
      <w:r w:rsidR="00982006">
        <w:rPr>
          <w:rFonts w:ascii="Calibri" w:hAnsi="Calibri" w:cs="Calibri"/>
        </w:rPr>
        <w:t xml:space="preserve">more than </w:t>
      </w:r>
      <w:r>
        <w:rPr>
          <w:rFonts w:ascii="Calibri" w:hAnsi="Calibri" w:cs="Calibri"/>
        </w:rPr>
        <w:t xml:space="preserve">one student is schedule for </w:t>
      </w:r>
      <w:r w:rsidR="00982006">
        <w:rPr>
          <w:rFonts w:ascii="Calibri" w:hAnsi="Calibri" w:cs="Calibri"/>
        </w:rPr>
        <w:t>the same day</w:t>
      </w:r>
      <w:r>
        <w:rPr>
          <w:rFonts w:ascii="Calibri" w:hAnsi="Calibri" w:cs="Calibri"/>
        </w:rPr>
        <w:t xml:space="preserve"> </w:t>
      </w:r>
      <w:r w:rsidR="00982006">
        <w:rPr>
          <w:rFonts w:ascii="Calibri" w:hAnsi="Calibri" w:cs="Calibri"/>
        </w:rPr>
        <w:t>tele</w:t>
      </w:r>
      <w:r>
        <w:rPr>
          <w:rFonts w:ascii="Calibri" w:hAnsi="Calibri" w:cs="Calibri"/>
        </w:rPr>
        <w:t>conference</w:t>
      </w:r>
      <w:r w:rsidR="00982006">
        <w:rPr>
          <w:rFonts w:ascii="Calibri" w:hAnsi="Calibri" w:cs="Calibri"/>
        </w:rPr>
        <w:t xml:space="preserve"> at the same school for various reasons</w:t>
      </w:r>
      <w:r>
        <w:rPr>
          <w:rFonts w:ascii="Calibri" w:hAnsi="Calibri" w:cs="Calibri"/>
        </w:rPr>
        <w:t>.  The size of some school buildings with multiple floors and without escalator</w:t>
      </w:r>
      <w:r w:rsidR="00E10F6E">
        <w:rPr>
          <w:rFonts w:ascii="Calibri" w:hAnsi="Calibri" w:cs="Calibri"/>
        </w:rPr>
        <w:t>s</w:t>
      </w:r>
      <w:r>
        <w:rPr>
          <w:rFonts w:ascii="Calibri" w:hAnsi="Calibri" w:cs="Calibri"/>
        </w:rPr>
        <w:t xml:space="preserve"> or limited elevator access</w:t>
      </w:r>
      <w:r w:rsidR="00982006">
        <w:rPr>
          <w:rFonts w:ascii="Calibri" w:hAnsi="Calibri" w:cs="Calibri"/>
        </w:rPr>
        <w:t xml:space="preserve"> can </w:t>
      </w:r>
      <w:r w:rsidR="00E10F6E">
        <w:rPr>
          <w:rFonts w:ascii="Calibri" w:hAnsi="Calibri" w:cs="Calibri"/>
        </w:rPr>
        <w:t xml:space="preserve">also </w:t>
      </w:r>
      <w:r w:rsidR="00982006">
        <w:rPr>
          <w:rFonts w:ascii="Calibri" w:hAnsi="Calibri" w:cs="Calibri"/>
        </w:rPr>
        <w:t xml:space="preserve">impact the </w:t>
      </w:r>
      <w:r w:rsidR="0055442B">
        <w:rPr>
          <w:rFonts w:ascii="Calibri" w:hAnsi="Calibri" w:cs="Calibri"/>
        </w:rPr>
        <w:t>duration between</w:t>
      </w:r>
      <w:r w:rsidR="00982006">
        <w:rPr>
          <w:rFonts w:ascii="Calibri" w:hAnsi="Calibri" w:cs="Calibri"/>
        </w:rPr>
        <w:t xml:space="preserve"> each session</w:t>
      </w:r>
      <w:r>
        <w:rPr>
          <w:rFonts w:ascii="Calibri" w:hAnsi="Calibri" w:cs="Calibri"/>
        </w:rPr>
        <w:t xml:space="preserve">. </w:t>
      </w:r>
    </w:p>
    <w:p w14:paraId="6D27891D" w14:textId="1BEE4B6C" w:rsidR="0007785D" w:rsidRPr="0007785D" w:rsidRDefault="005B37E3" w:rsidP="0044451D">
      <w:pPr>
        <w:pStyle w:val="ListParagraph"/>
        <w:numPr>
          <w:ilvl w:val="0"/>
          <w:numId w:val="1"/>
        </w:numPr>
        <w:jc w:val="both"/>
        <w:rPr>
          <w:rFonts w:ascii="Calibri" w:hAnsi="Calibri" w:cs="Calibri"/>
          <w:b/>
        </w:rPr>
      </w:pPr>
      <w:r w:rsidRPr="0007785D">
        <w:rPr>
          <w:rFonts w:ascii="Calibri" w:hAnsi="Calibri" w:cs="Calibri"/>
        </w:rPr>
        <w:t>The fourth recommendation to be considered is a hybrid approach where a combination of options 1 and 3 or option 2 and 3 providing that option 3 meet</w:t>
      </w:r>
      <w:r w:rsidR="00E10F6E" w:rsidRPr="0007785D">
        <w:rPr>
          <w:rFonts w:ascii="Calibri" w:hAnsi="Calibri" w:cs="Calibri"/>
        </w:rPr>
        <w:t>s</w:t>
      </w:r>
      <w:r w:rsidRPr="0007785D">
        <w:rPr>
          <w:rFonts w:ascii="Calibri" w:hAnsi="Calibri" w:cs="Calibri"/>
        </w:rPr>
        <w:t xml:space="preserve"> the approval of the </w:t>
      </w:r>
      <w:r w:rsidR="00982006" w:rsidRPr="0007785D">
        <w:rPr>
          <w:rFonts w:ascii="Calibri" w:hAnsi="Calibri" w:cs="Calibri"/>
        </w:rPr>
        <w:t xml:space="preserve">internal </w:t>
      </w:r>
      <w:r w:rsidRPr="0007785D">
        <w:rPr>
          <w:rFonts w:ascii="Calibri" w:hAnsi="Calibri" w:cs="Calibri"/>
        </w:rPr>
        <w:t>legal</w:t>
      </w:r>
      <w:r w:rsidR="00982006" w:rsidRPr="0007785D">
        <w:rPr>
          <w:rFonts w:ascii="Calibri" w:hAnsi="Calibri" w:cs="Calibri"/>
        </w:rPr>
        <w:t xml:space="preserve"> department</w:t>
      </w:r>
      <w:r w:rsidRPr="0007785D">
        <w:rPr>
          <w:rFonts w:ascii="Calibri" w:hAnsi="Calibri" w:cs="Calibri"/>
        </w:rPr>
        <w:t xml:space="preserve">, </w:t>
      </w:r>
      <w:r w:rsidR="00982006" w:rsidRPr="0007785D">
        <w:rPr>
          <w:rFonts w:ascii="Calibri" w:hAnsi="Calibri" w:cs="Calibri"/>
        </w:rPr>
        <w:t xml:space="preserve">the </w:t>
      </w:r>
      <w:r w:rsidRPr="0007785D">
        <w:rPr>
          <w:rFonts w:ascii="Calibri" w:hAnsi="Calibri" w:cs="Calibri"/>
        </w:rPr>
        <w:t>parents, unions and</w:t>
      </w:r>
      <w:r w:rsidR="00982006" w:rsidRPr="0007785D">
        <w:rPr>
          <w:rFonts w:ascii="Calibri" w:hAnsi="Calibri" w:cs="Calibri"/>
        </w:rPr>
        <w:t xml:space="preserve"> other</w:t>
      </w:r>
      <w:r w:rsidRPr="0007785D">
        <w:rPr>
          <w:rFonts w:ascii="Calibri" w:hAnsi="Calibri" w:cs="Calibri"/>
        </w:rPr>
        <w:t xml:space="preserve"> internal partners.</w:t>
      </w:r>
      <w:r w:rsidR="00F93AC5" w:rsidRPr="0007785D">
        <w:rPr>
          <w:rFonts w:ascii="Calibri" w:hAnsi="Calibri" w:cs="Calibri"/>
        </w:rPr>
        <w:t xml:space="preserve"> </w:t>
      </w:r>
    </w:p>
    <w:p w14:paraId="2AEB8B79" w14:textId="254F456F" w:rsidR="003C2955" w:rsidRPr="0007785D" w:rsidRDefault="003C2955" w:rsidP="0007785D">
      <w:pPr>
        <w:jc w:val="both"/>
        <w:rPr>
          <w:rFonts w:ascii="Calibri" w:hAnsi="Calibri" w:cs="Calibri"/>
          <w:b/>
        </w:rPr>
      </w:pPr>
      <w:r w:rsidRPr="0007785D">
        <w:rPr>
          <w:rFonts w:ascii="Calibri" w:hAnsi="Calibri" w:cs="Calibri"/>
          <w:b/>
        </w:rPr>
        <w:lastRenderedPageBreak/>
        <w:t>Summary</w:t>
      </w:r>
    </w:p>
    <w:p w14:paraId="76C8E3C8" w14:textId="6A03BE4E" w:rsidR="003C2955" w:rsidRPr="00B01C1E" w:rsidRDefault="001F35FE" w:rsidP="00B01C1E">
      <w:pPr>
        <w:jc w:val="both"/>
        <w:rPr>
          <w:rFonts w:ascii="Calibri" w:hAnsi="Calibri" w:cs="Calibri"/>
        </w:rPr>
      </w:pPr>
      <w:r w:rsidRPr="00B01C1E">
        <w:rPr>
          <w:rFonts w:ascii="Calibri" w:hAnsi="Calibri" w:cs="Calibri"/>
        </w:rPr>
        <w:t xml:space="preserve">The focus is to follow-up on the number of absent students that were not seen during the first physicians’ visits and the proposals above offer options that are cost effective and practical without interfering with the main part of the program. </w:t>
      </w:r>
      <w:r w:rsidR="008B2058" w:rsidRPr="00B01C1E">
        <w:rPr>
          <w:rFonts w:ascii="Calibri" w:hAnsi="Calibri" w:cs="Calibri"/>
        </w:rPr>
        <w:t xml:space="preserve">This initiative require additional staff to schedule the each doctor and therapist in anticipation that the absent students will be available for therapy on the scheduled day.  </w:t>
      </w:r>
      <w:r w:rsidRPr="00B01C1E">
        <w:rPr>
          <w:rFonts w:ascii="Calibri" w:hAnsi="Calibri" w:cs="Calibri"/>
        </w:rPr>
        <w:t xml:space="preserve">Recommendations two and three are more difficulty to implement since there are multiple steps in the implementation process that can be time consuming.  </w:t>
      </w:r>
      <w:r w:rsidR="0007785D" w:rsidRPr="00B01C1E">
        <w:rPr>
          <w:rFonts w:ascii="Calibri" w:hAnsi="Calibri" w:cs="Calibri"/>
        </w:rPr>
        <w:t xml:space="preserve">In my opinion, the hybrid approach in the long run will be best to maximize the production of orders for this program if all the challenges are resolved positively. </w:t>
      </w:r>
    </w:p>
    <w:p w14:paraId="6E7A5EB9" w14:textId="418F9DB5" w:rsidR="00F713ED" w:rsidRPr="00F713ED" w:rsidRDefault="00F713ED" w:rsidP="00F713ED">
      <w:pPr>
        <w:jc w:val="both"/>
        <w:rPr>
          <w:rFonts w:ascii="Calibri" w:hAnsi="Calibri" w:cs="Calibri"/>
          <w:b/>
          <w:bCs/>
        </w:rPr>
      </w:pPr>
      <w:r>
        <w:rPr>
          <w:rFonts w:ascii="Calibri" w:hAnsi="Calibri" w:cs="Calibri"/>
          <w:b/>
          <w:bCs/>
        </w:rPr>
        <w:t xml:space="preserve">Other </w:t>
      </w:r>
      <w:r w:rsidR="000B7B6A">
        <w:rPr>
          <w:rFonts w:ascii="Calibri" w:hAnsi="Calibri" w:cs="Calibri"/>
          <w:b/>
          <w:bCs/>
        </w:rPr>
        <w:t>Recommendation</w:t>
      </w:r>
    </w:p>
    <w:p w14:paraId="13F8E84C" w14:textId="5E4B56B3" w:rsidR="00673F02" w:rsidRDefault="00673F02" w:rsidP="00673F02">
      <w:pPr>
        <w:jc w:val="both"/>
        <w:rPr>
          <w:rFonts w:ascii="Calibri" w:hAnsi="Calibri" w:cs="Calibri"/>
        </w:rPr>
      </w:pPr>
      <w:r>
        <w:rPr>
          <w:rFonts w:ascii="Calibri" w:hAnsi="Calibri" w:cs="Calibri"/>
        </w:rPr>
        <w:t>The expansion of the Medicaid Program into charter schools, Pre</w:t>
      </w:r>
      <w:r w:rsidR="00AC6B42">
        <w:rPr>
          <w:rFonts w:ascii="Calibri" w:hAnsi="Calibri" w:cs="Calibri"/>
        </w:rPr>
        <w:t>K</w:t>
      </w:r>
      <w:r>
        <w:rPr>
          <w:rFonts w:ascii="Calibri" w:hAnsi="Calibri" w:cs="Calibri"/>
        </w:rPr>
        <w:t>-Programs and non-public schools needs to be addressed separately as there are addition factor</w:t>
      </w:r>
      <w:r w:rsidR="00982006">
        <w:rPr>
          <w:rFonts w:ascii="Calibri" w:hAnsi="Calibri" w:cs="Calibri"/>
        </w:rPr>
        <w:t>s</w:t>
      </w:r>
      <w:r>
        <w:rPr>
          <w:rFonts w:ascii="Calibri" w:hAnsi="Calibri" w:cs="Calibri"/>
        </w:rPr>
        <w:t xml:space="preserve"> and responsibilities that need</w:t>
      </w:r>
      <w:r w:rsidR="00E10F6E">
        <w:rPr>
          <w:rFonts w:ascii="Calibri" w:hAnsi="Calibri" w:cs="Calibri"/>
        </w:rPr>
        <w:t>s</w:t>
      </w:r>
      <w:r>
        <w:rPr>
          <w:rFonts w:ascii="Calibri" w:hAnsi="Calibri" w:cs="Calibri"/>
        </w:rPr>
        <w:t xml:space="preserve"> to </w:t>
      </w:r>
      <w:r w:rsidR="00E10F6E">
        <w:rPr>
          <w:rFonts w:ascii="Calibri" w:hAnsi="Calibri" w:cs="Calibri"/>
        </w:rPr>
        <w:t xml:space="preserve">be </w:t>
      </w:r>
      <w:r>
        <w:rPr>
          <w:rFonts w:ascii="Calibri" w:hAnsi="Calibri" w:cs="Calibri"/>
        </w:rPr>
        <w:t xml:space="preserve">considered to avoid complications and delays. </w:t>
      </w:r>
    </w:p>
    <w:p w14:paraId="6A641526" w14:textId="1C57A5B7" w:rsidR="00CE0D0D" w:rsidRDefault="00CE0D0D" w:rsidP="00673F02">
      <w:pPr>
        <w:jc w:val="both"/>
        <w:rPr>
          <w:rFonts w:ascii="Calibri" w:hAnsi="Calibri" w:cs="Calibri"/>
        </w:rPr>
      </w:pPr>
    </w:p>
    <w:p w14:paraId="697D28DB" w14:textId="01954F6D" w:rsidR="0004127F" w:rsidRDefault="0004127F" w:rsidP="00673F02">
      <w:pPr>
        <w:jc w:val="both"/>
        <w:rPr>
          <w:rFonts w:ascii="Calibri" w:hAnsi="Calibri" w:cs="Calibri"/>
        </w:rPr>
      </w:pPr>
    </w:p>
    <w:p w14:paraId="5814B15C" w14:textId="2CE4E912" w:rsidR="0004127F" w:rsidRDefault="0004127F" w:rsidP="00673F02">
      <w:pPr>
        <w:jc w:val="both"/>
        <w:rPr>
          <w:rFonts w:ascii="Calibri" w:hAnsi="Calibri" w:cs="Calibri"/>
        </w:rPr>
      </w:pPr>
    </w:p>
    <w:p w14:paraId="64CE23E4" w14:textId="5343BF30" w:rsidR="0004127F" w:rsidRDefault="0004127F" w:rsidP="00673F02">
      <w:pPr>
        <w:jc w:val="both"/>
        <w:rPr>
          <w:rFonts w:ascii="Calibri" w:hAnsi="Calibri" w:cs="Calibri"/>
        </w:rPr>
      </w:pPr>
    </w:p>
    <w:p w14:paraId="690A7AB6" w14:textId="521295FF" w:rsidR="0004127F" w:rsidRDefault="0004127F" w:rsidP="00673F02">
      <w:pPr>
        <w:jc w:val="both"/>
        <w:rPr>
          <w:rFonts w:ascii="Calibri" w:hAnsi="Calibri" w:cs="Calibri"/>
        </w:rPr>
      </w:pPr>
    </w:p>
    <w:p w14:paraId="2E113779" w14:textId="6589DCA5" w:rsidR="0004127F" w:rsidRDefault="0004127F" w:rsidP="00673F02">
      <w:pPr>
        <w:jc w:val="both"/>
        <w:rPr>
          <w:rFonts w:ascii="Calibri" w:hAnsi="Calibri" w:cs="Calibri"/>
        </w:rPr>
      </w:pPr>
    </w:p>
    <w:p w14:paraId="74E28EEA" w14:textId="32919335" w:rsidR="0004127F" w:rsidRDefault="0004127F" w:rsidP="00673F02">
      <w:pPr>
        <w:jc w:val="both"/>
        <w:rPr>
          <w:rFonts w:ascii="Calibri" w:hAnsi="Calibri" w:cs="Calibri"/>
        </w:rPr>
      </w:pPr>
    </w:p>
    <w:p w14:paraId="15C916D2" w14:textId="5E7D4377" w:rsidR="0004127F" w:rsidRDefault="0004127F" w:rsidP="00673F02">
      <w:pPr>
        <w:jc w:val="both"/>
        <w:rPr>
          <w:rFonts w:ascii="Calibri" w:hAnsi="Calibri" w:cs="Calibri"/>
        </w:rPr>
      </w:pPr>
    </w:p>
    <w:p w14:paraId="06920985" w14:textId="2B83EC43" w:rsidR="0004127F" w:rsidRDefault="0004127F" w:rsidP="00673F02">
      <w:pPr>
        <w:jc w:val="both"/>
        <w:rPr>
          <w:rFonts w:ascii="Calibri" w:hAnsi="Calibri" w:cs="Calibri"/>
        </w:rPr>
      </w:pPr>
    </w:p>
    <w:p w14:paraId="7F0BA1F9" w14:textId="7C51D347" w:rsidR="0004127F" w:rsidRDefault="0004127F" w:rsidP="00673F02">
      <w:pPr>
        <w:jc w:val="both"/>
        <w:rPr>
          <w:rFonts w:ascii="Calibri" w:hAnsi="Calibri" w:cs="Calibri"/>
        </w:rPr>
      </w:pPr>
    </w:p>
    <w:p w14:paraId="6A233484" w14:textId="63A2912E" w:rsidR="0004127F" w:rsidRDefault="0004127F" w:rsidP="00673F02">
      <w:pPr>
        <w:jc w:val="both"/>
        <w:rPr>
          <w:rFonts w:ascii="Calibri" w:hAnsi="Calibri" w:cs="Calibri"/>
        </w:rPr>
      </w:pPr>
    </w:p>
    <w:p w14:paraId="6EA87AC2" w14:textId="507A57A4" w:rsidR="0004127F" w:rsidRDefault="0004127F" w:rsidP="00673F02">
      <w:pPr>
        <w:jc w:val="both"/>
        <w:rPr>
          <w:rFonts w:ascii="Calibri" w:hAnsi="Calibri" w:cs="Calibri"/>
        </w:rPr>
      </w:pPr>
    </w:p>
    <w:p w14:paraId="00810F77" w14:textId="723AF662" w:rsidR="0004127F" w:rsidRDefault="0004127F" w:rsidP="00673F02">
      <w:pPr>
        <w:jc w:val="both"/>
        <w:rPr>
          <w:rFonts w:ascii="Calibri" w:hAnsi="Calibri" w:cs="Calibri"/>
        </w:rPr>
      </w:pPr>
    </w:p>
    <w:p w14:paraId="5B0B099C" w14:textId="517C7C5D" w:rsidR="0004127F" w:rsidRDefault="0004127F" w:rsidP="00673F02">
      <w:pPr>
        <w:jc w:val="both"/>
        <w:rPr>
          <w:rFonts w:ascii="Calibri" w:hAnsi="Calibri" w:cs="Calibri"/>
        </w:rPr>
      </w:pPr>
    </w:p>
    <w:p w14:paraId="2FBBDBB2" w14:textId="54E80252" w:rsidR="0004127F" w:rsidRDefault="0004127F" w:rsidP="00673F02">
      <w:pPr>
        <w:jc w:val="both"/>
        <w:rPr>
          <w:rFonts w:ascii="Calibri" w:hAnsi="Calibri" w:cs="Calibri"/>
        </w:rPr>
      </w:pPr>
    </w:p>
    <w:p w14:paraId="63ADE8A4" w14:textId="21C2C827" w:rsidR="0004127F" w:rsidRDefault="0004127F" w:rsidP="00673F02">
      <w:pPr>
        <w:jc w:val="both"/>
        <w:rPr>
          <w:rFonts w:ascii="Calibri" w:hAnsi="Calibri" w:cs="Calibri"/>
        </w:rPr>
      </w:pPr>
    </w:p>
    <w:p w14:paraId="48853B36" w14:textId="3A3D658D" w:rsidR="0004127F" w:rsidRDefault="0004127F" w:rsidP="00673F02">
      <w:pPr>
        <w:jc w:val="both"/>
        <w:rPr>
          <w:rFonts w:ascii="Calibri" w:hAnsi="Calibri" w:cs="Calibri"/>
        </w:rPr>
      </w:pPr>
    </w:p>
    <w:p w14:paraId="606DB161" w14:textId="6B3ACA4D" w:rsidR="0004127F" w:rsidRDefault="0004127F" w:rsidP="00673F02">
      <w:pPr>
        <w:jc w:val="both"/>
        <w:rPr>
          <w:rFonts w:ascii="Calibri" w:hAnsi="Calibri" w:cs="Calibri"/>
        </w:rPr>
      </w:pPr>
    </w:p>
    <w:p w14:paraId="4F3C3F09" w14:textId="51849098" w:rsidR="00CE0D0D" w:rsidRDefault="00CE0D0D" w:rsidP="00673F02">
      <w:pPr>
        <w:jc w:val="both"/>
        <w:rPr>
          <w:rFonts w:ascii="Calibri" w:hAnsi="Calibri" w:cs="Calibri"/>
        </w:rPr>
      </w:pPr>
    </w:p>
    <w:p w14:paraId="4EF47A49" w14:textId="04613043" w:rsidR="00F93AC5" w:rsidRDefault="007B79F1" w:rsidP="007B79F1">
      <w:pPr>
        <w:jc w:val="both"/>
        <w:rPr>
          <w:rFonts w:ascii="Calibri" w:hAnsi="Calibri" w:cs="Calibri"/>
          <w:b/>
          <w:bCs/>
        </w:rPr>
      </w:pPr>
      <w:r w:rsidRPr="007B79F1">
        <w:rPr>
          <w:rFonts w:ascii="Calibri" w:hAnsi="Calibri" w:cs="Calibri"/>
          <w:b/>
          <w:bCs/>
        </w:rPr>
        <w:lastRenderedPageBreak/>
        <w:t>References</w:t>
      </w:r>
    </w:p>
    <w:p w14:paraId="1F853636" w14:textId="77777777" w:rsidR="0004127F" w:rsidRPr="007B79F1" w:rsidRDefault="0004127F" w:rsidP="007B79F1">
      <w:pPr>
        <w:jc w:val="both"/>
        <w:rPr>
          <w:rFonts w:ascii="Calibri" w:hAnsi="Calibri" w:cs="Calibri"/>
          <w:b/>
          <w:bCs/>
        </w:rPr>
      </w:pPr>
    </w:p>
    <w:p w14:paraId="4D8B1E93" w14:textId="152B53D8" w:rsidR="00621AD0" w:rsidRDefault="00971534" w:rsidP="00621AD0">
      <w:pPr>
        <w:pStyle w:val="Bibliography"/>
        <w:rPr>
          <w:rFonts w:ascii="Calibri" w:hAnsi="Calibri" w:cs="Calibri"/>
        </w:rPr>
      </w:pPr>
      <w:r>
        <w:rPr>
          <w:rFonts w:ascii="Calibri" w:hAnsi="Calibri" w:cs="Calibri"/>
        </w:rPr>
        <w:fldChar w:fldCharType="begin"/>
      </w:r>
      <w:r w:rsidR="00621AD0">
        <w:rPr>
          <w:rFonts w:ascii="Calibri" w:hAnsi="Calibri" w:cs="Calibri"/>
        </w:rPr>
        <w:instrText xml:space="preserve"> ADDIN ZOTERO_BIBL {"uncited":[],"omitted":[],"custom":[]} CSL_BIBLIOGRAPHY </w:instrText>
      </w:r>
      <w:r>
        <w:rPr>
          <w:rFonts w:ascii="Calibri" w:hAnsi="Calibri" w:cs="Calibri"/>
        </w:rPr>
        <w:fldChar w:fldCharType="separate"/>
      </w:r>
      <w:r w:rsidR="00621AD0" w:rsidRPr="00621AD0">
        <w:rPr>
          <w:rFonts w:ascii="Calibri" w:hAnsi="Calibri" w:cs="Calibri"/>
        </w:rPr>
        <w:t xml:space="preserve">Hanaysha, J. (2016). Improving employee productivity through work engagement: Evidence from higher education sector. </w:t>
      </w:r>
      <w:r w:rsidR="00621AD0" w:rsidRPr="00621AD0">
        <w:rPr>
          <w:rFonts w:ascii="Calibri" w:hAnsi="Calibri" w:cs="Calibri"/>
          <w:i/>
          <w:iCs/>
        </w:rPr>
        <w:t>Management Science Letters</w:t>
      </w:r>
      <w:r w:rsidR="00621AD0" w:rsidRPr="00621AD0">
        <w:rPr>
          <w:rFonts w:ascii="Calibri" w:hAnsi="Calibri" w:cs="Calibri"/>
        </w:rPr>
        <w:t xml:space="preserve">, </w:t>
      </w:r>
      <w:r w:rsidR="00621AD0" w:rsidRPr="00621AD0">
        <w:rPr>
          <w:rFonts w:ascii="Calibri" w:hAnsi="Calibri" w:cs="Calibri"/>
          <w:i/>
          <w:iCs/>
        </w:rPr>
        <w:t>6</w:t>
      </w:r>
      <w:r w:rsidR="00621AD0" w:rsidRPr="00621AD0">
        <w:rPr>
          <w:rFonts w:ascii="Calibri" w:hAnsi="Calibri" w:cs="Calibri"/>
        </w:rPr>
        <w:t>, 61–70. https://doi.org/10.5267/j.msl.2015.11.006</w:t>
      </w:r>
    </w:p>
    <w:p w14:paraId="3A3C4E13" w14:textId="220D7189" w:rsidR="00127A60" w:rsidRPr="00127A60" w:rsidRDefault="00127A60" w:rsidP="00127A60">
      <w:r>
        <w:t>Hollander, Andrew. (2020) Recommendatio</w:t>
      </w:r>
      <w:r w:rsidR="00F041F6">
        <w:t>n Memo: Telehealth Medicaid Pre</w:t>
      </w:r>
      <w:r>
        <w:t>scriptions</w:t>
      </w:r>
    </w:p>
    <w:p w14:paraId="6D20BC73" w14:textId="77777777" w:rsidR="00621AD0" w:rsidRPr="00621AD0" w:rsidRDefault="00621AD0" w:rsidP="00621AD0">
      <w:pPr>
        <w:pStyle w:val="Bibliography"/>
        <w:rPr>
          <w:rFonts w:ascii="Calibri" w:hAnsi="Calibri" w:cs="Calibri"/>
        </w:rPr>
      </w:pPr>
      <w:r w:rsidRPr="00621AD0">
        <w:rPr>
          <w:rFonts w:ascii="Calibri" w:hAnsi="Calibri" w:cs="Calibri"/>
        </w:rPr>
        <w:t xml:space="preserve">Kumar, S., Duhan, M., &amp; Haleem, A. (2016). Evaluation of factors important to enhance productivity. </w:t>
      </w:r>
      <w:r w:rsidRPr="00621AD0">
        <w:rPr>
          <w:rFonts w:ascii="Calibri" w:hAnsi="Calibri" w:cs="Calibri"/>
          <w:i/>
          <w:iCs/>
        </w:rPr>
        <w:t>Cogent Engineering</w:t>
      </w:r>
      <w:r w:rsidRPr="00621AD0">
        <w:rPr>
          <w:rFonts w:ascii="Calibri" w:hAnsi="Calibri" w:cs="Calibri"/>
        </w:rPr>
        <w:t xml:space="preserve">, </w:t>
      </w:r>
      <w:r w:rsidRPr="00621AD0">
        <w:rPr>
          <w:rFonts w:ascii="Calibri" w:hAnsi="Calibri" w:cs="Calibri"/>
          <w:i/>
          <w:iCs/>
        </w:rPr>
        <w:t>3</w:t>
      </w:r>
      <w:r w:rsidRPr="00621AD0">
        <w:rPr>
          <w:rFonts w:ascii="Calibri" w:hAnsi="Calibri" w:cs="Calibri"/>
        </w:rPr>
        <w:t>(1), 1145043. https://doi.org/10.1080/23311916.2016.1145043</w:t>
      </w:r>
    </w:p>
    <w:p w14:paraId="1BEA79D2" w14:textId="77777777" w:rsidR="00621AD0" w:rsidRPr="00621AD0" w:rsidRDefault="00621AD0" w:rsidP="00621AD0">
      <w:pPr>
        <w:pStyle w:val="Bibliography"/>
        <w:rPr>
          <w:rFonts w:ascii="Calibri" w:hAnsi="Calibri" w:cs="Calibri"/>
        </w:rPr>
      </w:pPr>
      <w:r w:rsidRPr="00621AD0">
        <w:rPr>
          <w:rFonts w:ascii="Calibri" w:hAnsi="Calibri" w:cs="Calibri"/>
        </w:rPr>
        <w:t xml:space="preserve">Mark Schmidt, &amp; Rayan Slaughter. (2017). A Strategic Leader’s Guide to Transforming Culture in Large Organizations. </w:t>
      </w:r>
      <w:r w:rsidRPr="00621AD0">
        <w:rPr>
          <w:rFonts w:ascii="Calibri" w:hAnsi="Calibri" w:cs="Calibri"/>
          <w:i/>
          <w:iCs/>
        </w:rPr>
        <w:t>National Defense University Press</w:t>
      </w:r>
      <w:r w:rsidRPr="00621AD0">
        <w:rPr>
          <w:rFonts w:ascii="Calibri" w:hAnsi="Calibri" w:cs="Calibri"/>
        </w:rPr>
        <w:t>. http://ndupress.ndu.edu/Media/News/News-Article-View/Article/1219704/a-strategic-leaders-guide-to-transforming-culture-in-large-organizations/</w:t>
      </w:r>
    </w:p>
    <w:p w14:paraId="0D503274" w14:textId="0E7AE142" w:rsidR="00621AD0" w:rsidRPr="00621AD0" w:rsidRDefault="00621AD0" w:rsidP="00621AD0">
      <w:pPr>
        <w:pStyle w:val="Bibliography"/>
        <w:rPr>
          <w:rFonts w:ascii="Calibri" w:hAnsi="Calibri" w:cs="Calibri"/>
        </w:rPr>
      </w:pPr>
      <w:r>
        <w:rPr>
          <w:rFonts w:ascii="Calibri" w:hAnsi="Calibri" w:cs="Calibri"/>
        </w:rPr>
        <w:t>OSHO, Augustine E. (2014</w:t>
      </w:r>
      <w:r w:rsidRPr="00621AD0">
        <w:rPr>
          <w:rFonts w:ascii="Calibri" w:hAnsi="Calibri" w:cs="Calibri"/>
        </w:rPr>
        <w:t xml:space="preserve">). </w:t>
      </w:r>
      <w:r w:rsidRPr="00621AD0">
        <w:rPr>
          <w:rFonts w:ascii="Calibri" w:hAnsi="Calibri" w:cs="Calibri"/>
          <w:i/>
          <w:iCs/>
        </w:rPr>
        <w:t>Management as Practice: Improving Productivity and Performance in Organizational Setting</w:t>
      </w:r>
      <w:r w:rsidRPr="00621AD0">
        <w:rPr>
          <w:rFonts w:ascii="Calibri" w:hAnsi="Calibri" w:cs="Calibri"/>
        </w:rPr>
        <w:t>.</w:t>
      </w:r>
    </w:p>
    <w:p w14:paraId="0BE22440" w14:textId="58AC325A" w:rsidR="007B79F1" w:rsidRPr="007379C8" w:rsidRDefault="00971534" w:rsidP="007B79F1">
      <w:pPr>
        <w:jc w:val="both"/>
        <w:rPr>
          <w:rFonts w:ascii="Calibri" w:hAnsi="Calibri" w:cs="Calibri"/>
        </w:rPr>
      </w:pPr>
      <w:r>
        <w:rPr>
          <w:rFonts w:ascii="Calibri" w:hAnsi="Calibri" w:cs="Calibri"/>
        </w:rPr>
        <w:fldChar w:fldCharType="end"/>
      </w:r>
    </w:p>
    <w:p w14:paraId="140411B9" w14:textId="77777777" w:rsidR="0092632F" w:rsidRPr="0085151A" w:rsidRDefault="0092632F" w:rsidP="0092632F">
      <w:pPr>
        <w:jc w:val="both"/>
        <w:rPr>
          <w:rFonts w:ascii="Calibri" w:hAnsi="Calibri" w:cs="Calibri"/>
        </w:rPr>
      </w:pPr>
    </w:p>
    <w:p w14:paraId="7B289974" w14:textId="77777777" w:rsidR="0092632F" w:rsidRDefault="0092632F"/>
    <w:sectPr w:rsidR="00926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7F06"/>
    <w:multiLevelType w:val="hybridMultilevel"/>
    <w:tmpl w:val="D4401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2F3039"/>
    <w:multiLevelType w:val="hybridMultilevel"/>
    <w:tmpl w:val="7382A9E0"/>
    <w:lvl w:ilvl="0" w:tplc="04090005">
      <w:start w:val="1"/>
      <w:numFmt w:val="bullet"/>
      <w:lvlText w:val=""/>
      <w:lvlJc w:val="left"/>
      <w:pPr>
        <w:tabs>
          <w:tab w:val="num" w:pos="2700"/>
        </w:tabs>
        <w:ind w:left="2700" w:hanging="360"/>
      </w:pPr>
      <w:rPr>
        <w:rFonts w:ascii="Wingdings" w:hAnsi="Wingdings"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15:restartNumberingAfterBreak="0">
    <w:nsid w:val="137073BC"/>
    <w:multiLevelType w:val="hybridMultilevel"/>
    <w:tmpl w:val="7474E12A"/>
    <w:lvl w:ilvl="0" w:tplc="0409000B">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1BB10039"/>
    <w:multiLevelType w:val="hybridMultilevel"/>
    <w:tmpl w:val="EFA8C8AC"/>
    <w:lvl w:ilvl="0" w:tplc="0409000B">
      <w:start w:val="1"/>
      <w:numFmt w:val="bullet"/>
      <w:lvlText w:val=""/>
      <w:lvlJc w:val="left"/>
      <w:pPr>
        <w:ind w:left="198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FD314C0"/>
    <w:multiLevelType w:val="hybridMultilevel"/>
    <w:tmpl w:val="92A2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06589"/>
    <w:multiLevelType w:val="hybridMultilevel"/>
    <w:tmpl w:val="E88E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3033C"/>
    <w:multiLevelType w:val="hybridMultilevel"/>
    <w:tmpl w:val="A5927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0F2589"/>
    <w:multiLevelType w:val="hybridMultilevel"/>
    <w:tmpl w:val="ECA04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FE534B"/>
    <w:multiLevelType w:val="hybridMultilevel"/>
    <w:tmpl w:val="736C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C0DFD"/>
    <w:multiLevelType w:val="hybridMultilevel"/>
    <w:tmpl w:val="92A2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037458"/>
    <w:multiLevelType w:val="hybridMultilevel"/>
    <w:tmpl w:val="89BC976A"/>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15:restartNumberingAfterBreak="0">
    <w:nsid w:val="4EB95337"/>
    <w:multiLevelType w:val="hybridMultilevel"/>
    <w:tmpl w:val="20326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B26A5B"/>
    <w:multiLevelType w:val="hybridMultilevel"/>
    <w:tmpl w:val="8C04146E"/>
    <w:lvl w:ilvl="0" w:tplc="1360C8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3F5495"/>
    <w:multiLevelType w:val="hybridMultilevel"/>
    <w:tmpl w:val="65B8B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11"/>
  </w:num>
  <w:num w:numId="4">
    <w:abstractNumId w:val="7"/>
  </w:num>
  <w:num w:numId="5">
    <w:abstractNumId w:val="0"/>
  </w:num>
  <w:num w:numId="6">
    <w:abstractNumId w:val="13"/>
  </w:num>
  <w:num w:numId="7">
    <w:abstractNumId w:val="6"/>
  </w:num>
  <w:num w:numId="8">
    <w:abstractNumId w:val="3"/>
  </w:num>
  <w:num w:numId="9">
    <w:abstractNumId w:val="10"/>
  </w:num>
  <w:num w:numId="10">
    <w:abstractNumId w:val="1"/>
  </w:num>
  <w:num w:numId="11">
    <w:abstractNumId w:val="2"/>
  </w:num>
  <w:num w:numId="12">
    <w:abstractNumId w:val="5"/>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1MLA0MDU1NTE3tzRV0lEKTi0uzszPAykwrgUARYluWiwAAAA="/>
  </w:docVars>
  <w:rsids>
    <w:rsidRoot w:val="0085151A"/>
    <w:rsid w:val="000116AC"/>
    <w:rsid w:val="0004127F"/>
    <w:rsid w:val="0007735C"/>
    <w:rsid w:val="0007785D"/>
    <w:rsid w:val="000A1959"/>
    <w:rsid w:val="000A7347"/>
    <w:rsid w:val="000B7B6A"/>
    <w:rsid w:val="000D7B0B"/>
    <w:rsid w:val="000E423D"/>
    <w:rsid w:val="0010260A"/>
    <w:rsid w:val="00124970"/>
    <w:rsid w:val="0012512B"/>
    <w:rsid w:val="00127A60"/>
    <w:rsid w:val="00153BF9"/>
    <w:rsid w:val="001604A9"/>
    <w:rsid w:val="00180E67"/>
    <w:rsid w:val="0018668F"/>
    <w:rsid w:val="001B55EC"/>
    <w:rsid w:val="001D51A3"/>
    <w:rsid w:val="001F124B"/>
    <w:rsid w:val="001F35FE"/>
    <w:rsid w:val="002003AF"/>
    <w:rsid w:val="002511AC"/>
    <w:rsid w:val="002703E9"/>
    <w:rsid w:val="00271C04"/>
    <w:rsid w:val="00292AAE"/>
    <w:rsid w:val="002B2B63"/>
    <w:rsid w:val="002B5B79"/>
    <w:rsid w:val="002C40AA"/>
    <w:rsid w:val="002D2E06"/>
    <w:rsid w:val="002D5901"/>
    <w:rsid w:val="00307135"/>
    <w:rsid w:val="00316AE3"/>
    <w:rsid w:val="003543FF"/>
    <w:rsid w:val="003620D5"/>
    <w:rsid w:val="00371833"/>
    <w:rsid w:val="003A0294"/>
    <w:rsid w:val="003A185D"/>
    <w:rsid w:val="003C16B2"/>
    <w:rsid w:val="003C2955"/>
    <w:rsid w:val="003D5353"/>
    <w:rsid w:val="003E3F51"/>
    <w:rsid w:val="00416F11"/>
    <w:rsid w:val="00454842"/>
    <w:rsid w:val="004776BB"/>
    <w:rsid w:val="00490D67"/>
    <w:rsid w:val="004A487C"/>
    <w:rsid w:val="004C220B"/>
    <w:rsid w:val="004D6F46"/>
    <w:rsid w:val="004D726D"/>
    <w:rsid w:val="004F0B7F"/>
    <w:rsid w:val="004F2FA9"/>
    <w:rsid w:val="00504D29"/>
    <w:rsid w:val="005168EB"/>
    <w:rsid w:val="0055442B"/>
    <w:rsid w:val="005548CD"/>
    <w:rsid w:val="005B37E3"/>
    <w:rsid w:val="005B6840"/>
    <w:rsid w:val="00615063"/>
    <w:rsid w:val="006200E2"/>
    <w:rsid w:val="00621AD0"/>
    <w:rsid w:val="0062389E"/>
    <w:rsid w:val="006330D8"/>
    <w:rsid w:val="00650B5A"/>
    <w:rsid w:val="00657DF8"/>
    <w:rsid w:val="00672F85"/>
    <w:rsid w:val="00673F02"/>
    <w:rsid w:val="00695852"/>
    <w:rsid w:val="0069590D"/>
    <w:rsid w:val="006C14FF"/>
    <w:rsid w:val="006E6BC8"/>
    <w:rsid w:val="0071027B"/>
    <w:rsid w:val="0071127E"/>
    <w:rsid w:val="00727AEC"/>
    <w:rsid w:val="007379C8"/>
    <w:rsid w:val="00754B1A"/>
    <w:rsid w:val="0076322A"/>
    <w:rsid w:val="007635BE"/>
    <w:rsid w:val="00767A88"/>
    <w:rsid w:val="00770D59"/>
    <w:rsid w:val="00795C1F"/>
    <w:rsid w:val="007B79F1"/>
    <w:rsid w:val="0080199C"/>
    <w:rsid w:val="00803231"/>
    <w:rsid w:val="008104A6"/>
    <w:rsid w:val="00850838"/>
    <w:rsid w:val="0085151A"/>
    <w:rsid w:val="00853CB7"/>
    <w:rsid w:val="00853FCF"/>
    <w:rsid w:val="00862F66"/>
    <w:rsid w:val="008671F2"/>
    <w:rsid w:val="00871043"/>
    <w:rsid w:val="00880DDE"/>
    <w:rsid w:val="00887270"/>
    <w:rsid w:val="00894CFE"/>
    <w:rsid w:val="00895B1C"/>
    <w:rsid w:val="008963E1"/>
    <w:rsid w:val="008B2058"/>
    <w:rsid w:val="008C6191"/>
    <w:rsid w:val="008E1FBD"/>
    <w:rsid w:val="008E5F5F"/>
    <w:rsid w:val="008F0E0D"/>
    <w:rsid w:val="008F4D28"/>
    <w:rsid w:val="0091344D"/>
    <w:rsid w:val="00914ED7"/>
    <w:rsid w:val="0092632F"/>
    <w:rsid w:val="00932384"/>
    <w:rsid w:val="00937F94"/>
    <w:rsid w:val="0094073F"/>
    <w:rsid w:val="009524D2"/>
    <w:rsid w:val="00954A82"/>
    <w:rsid w:val="00956700"/>
    <w:rsid w:val="00957044"/>
    <w:rsid w:val="00971534"/>
    <w:rsid w:val="00982006"/>
    <w:rsid w:val="009A3C4E"/>
    <w:rsid w:val="009C1802"/>
    <w:rsid w:val="009C4953"/>
    <w:rsid w:val="009D0C38"/>
    <w:rsid w:val="00A1238B"/>
    <w:rsid w:val="00A436B5"/>
    <w:rsid w:val="00A6651F"/>
    <w:rsid w:val="00A72675"/>
    <w:rsid w:val="00A72F3F"/>
    <w:rsid w:val="00A91E35"/>
    <w:rsid w:val="00AA370A"/>
    <w:rsid w:val="00AA3CA3"/>
    <w:rsid w:val="00AA3F5F"/>
    <w:rsid w:val="00AA612A"/>
    <w:rsid w:val="00AB628E"/>
    <w:rsid w:val="00AC6B42"/>
    <w:rsid w:val="00AC75D7"/>
    <w:rsid w:val="00B01C1E"/>
    <w:rsid w:val="00B3198C"/>
    <w:rsid w:val="00B323DB"/>
    <w:rsid w:val="00B74909"/>
    <w:rsid w:val="00B93E2F"/>
    <w:rsid w:val="00B97C4A"/>
    <w:rsid w:val="00BA3641"/>
    <w:rsid w:val="00BA61E8"/>
    <w:rsid w:val="00BB545B"/>
    <w:rsid w:val="00BB64A3"/>
    <w:rsid w:val="00BC3AE8"/>
    <w:rsid w:val="00BC5B1D"/>
    <w:rsid w:val="00BF460F"/>
    <w:rsid w:val="00C02E83"/>
    <w:rsid w:val="00C05A54"/>
    <w:rsid w:val="00C1284C"/>
    <w:rsid w:val="00C2709A"/>
    <w:rsid w:val="00C37386"/>
    <w:rsid w:val="00C57390"/>
    <w:rsid w:val="00C72877"/>
    <w:rsid w:val="00C9238E"/>
    <w:rsid w:val="00CA0090"/>
    <w:rsid w:val="00CB7BB3"/>
    <w:rsid w:val="00CB7BC6"/>
    <w:rsid w:val="00CE0D0D"/>
    <w:rsid w:val="00D0353B"/>
    <w:rsid w:val="00D32BB1"/>
    <w:rsid w:val="00D53E5C"/>
    <w:rsid w:val="00D601DD"/>
    <w:rsid w:val="00D8716D"/>
    <w:rsid w:val="00D87D75"/>
    <w:rsid w:val="00D90E89"/>
    <w:rsid w:val="00DA799C"/>
    <w:rsid w:val="00DD31D3"/>
    <w:rsid w:val="00DE5E59"/>
    <w:rsid w:val="00DE781E"/>
    <w:rsid w:val="00DE7BC5"/>
    <w:rsid w:val="00E01C06"/>
    <w:rsid w:val="00E03D93"/>
    <w:rsid w:val="00E10F6E"/>
    <w:rsid w:val="00E529F9"/>
    <w:rsid w:val="00E547C1"/>
    <w:rsid w:val="00E56A0B"/>
    <w:rsid w:val="00E732A2"/>
    <w:rsid w:val="00E73A8B"/>
    <w:rsid w:val="00E92AED"/>
    <w:rsid w:val="00EC0873"/>
    <w:rsid w:val="00EC17A2"/>
    <w:rsid w:val="00F01229"/>
    <w:rsid w:val="00F041F6"/>
    <w:rsid w:val="00F103D2"/>
    <w:rsid w:val="00F24B7B"/>
    <w:rsid w:val="00F713ED"/>
    <w:rsid w:val="00F93AC5"/>
    <w:rsid w:val="00FB7DAB"/>
    <w:rsid w:val="00FC3E46"/>
    <w:rsid w:val="00FF1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2CAE"/>
  <w15:chartTrackingRefBased/>
  <w15:docId w15:val="{D98DBC79-AF6E-4928-8ECB-42B17020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B7F"/>
    <w:pPr>
      <w:ind w:left="720"/>
      <w:contextualSpacing/>
    </w:pPr>
  </w:style>
  <w:style w:type="paragraph" w:styleId="Bibliography">
    <w:name w:val="Bibliography"/>
    <w:basedOn w:val="Normal"/>
    <w:next w:val="Normal"/>
    <w:uiPriority w:val="37"/>
    <w:unhideWhenUsed/>
    <w:rsid w:val="0097153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730637">
      <w:bodyDiv w:val="1"/>
      <w:marLeft w:val="0"/>
      <w:marRight w:val="0"/>
      <w:marTop w:val="0"/>
      <w:marBottom w:val="0"/>
      <w:divBdr>
        <w:top w:val="none" w:sz="0" w:space="0" w:color="auto"/>
        <w:left w:val="none" w:sz="0" w:space="0" w:color="auto"/>
        <w:bottom w:val="none" w:sz="0" w:space="0" w:color="auto"/>
        <w:right w:val="none" w:sz="0" w:space="0" w:color="auto"/>
      </w:divBdr>
    </w:div>
    <w:div w:id="756026305">
      <w:bodyDiv w:val="1"/>
      <w:marLeft w:val="0"/>
      <w:marRight w:val="0"/>
      <w:marTop w:val="0"/>
      <w:marBottom w:val="0"/>
      <w:divBdr>
        <w:top w:val="none" w:sz="0" w:space="0" w:color="auto"/>
        <w:left w:val="none" w:sz="0" w:space="0" w:color="auto"/>
        <w:bottom w:val="none" w:sz="0" w:space="0" w:color="auto"/>
        <w:right w:val="none" w:sz="0" w:space="0" w:color="auto"/>
      </w:divBdr>
    </w:div>
    <w:div w:id="1160341107">
      <w:bodyDiv w:val="1"/>
      <w:marLeft w:val="0"/>
      <w:marRight w:val="0"/>
      <w:marTop w:val="0"/>
      <w:marBottom w:val="0"/>
      <w:divBdr>
        <w:top w:val="none" w:sz="0" w:space="0" w:color="auto"/>
        <w:left w:val="none" w:sz="0" w:space="0" w:color="auto"/>
        <w:bottom w:val="none" w:sz="0" w:space="0" w:color="auto"/>
        <w:right w:val="none" w:sz="0" w:space="0" w:color="auto"/>
      </w:divBdr>
    </w:div>
    <w:div w:id="1443185443">
      <w:bodyDiv w:val="1"/>
      <w:marLeft w:val="0"/>
      <w:marRight w:val="0"/>
      <w:marTop w:val="0"/>
      <w:marBottom w:val="0"/>
      <w:divBdr>
        <w:top w:val="none" w:sz="0" w:space="0" w:color="auto"/>
        <w:left w:val="none" w:sz="0" w:space="0" w:color="auto"/>
        <w:bottom w:val="none" w:sz="0" w:space="0" w:color="auto"/>
        <w:right w:val="none" w:sz="0" w:space="0" w:color="auto"/>
      </w:divBdr>
    </w:div>
    <w:div w:id="1485707885">
      <w:bodyDiv w:val="1"/>
      <w:marLeft w:val="0"/>
      <w:marRight w:val="0"/>
      <w:marTop w:val="0"/>
      <w:marBottom w:val="0"/>
      <w:divBdr>
        <w:top w:val="none" w:sz="0" w:space="0" w:color="auto"/>
        <w:left w:val="none" w:sz="0" w:space="0" w:color="auto"/>
        <w:bottom w:val="none" w:sz="0" w:space="0" w:color="auto"/>
        <w:right w:val="none" w:sz="0" w:space="0" w:color="auto"/>
      </w:divBdr>
    </w:div>
    <w:div w:id="197101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D0F1A9-854F-4803-ACCE-96B8048960DD}"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0030D36C-8D34-46E5-8094-3AC9FA662DDB}">
      <dgm:prSet phldrT="[Text]" custT="1"/>
      <dgm:spPr>
        <a:solidFill>
          <a:srgbClr val="C00000"/>
        </a:solidFill>
        <a:scene3d>
          <a:camera prst="orthographicFront"/>
          <a:lightRig rig="threePt" dir="t"/>
        </a:scene3d>
        <a:sp3d>
          <a:bevelT/>
        </a:sp3d>
      </dgm:spPr>
      <dgm:t>
        <a:bodyPr/>
        <a:lstStyle/>
        <a:p>
          <a:r>
            <a:rPr lang="en-US" sz="1000" b="1" cap="none" spc="0">
              <a:ln w="0">
                <a:noFill/>
              </a:ln>
              <a:solidFill>
                <a:schemeClr val="bg1"/>
              </a:solidFill>
              <a:effectLst>
                <a:outerShdw blurRad="50800" dist="38100" dir="5400000" algn="t" rotWithShape="0">
                  <a:prstClr val="black">
                    <a:alpha val="40000"/>
                  </a:prstClr>
                </a:outerShdw>
              </a:effectLst>
              <a:latin typeface="+mn-lt"/>
            </a:rPr>
            <a:t>DEPUTY COMMISSIONER</a:t>
          </a:r>
          <a:br>
            <a:rPr lang="en-US" sz="1000" b="1" cap="none" spc="0">
              <a:ln w="0">
                <a:noFill/>
              </a:ln>
              <a:solidFill>
                <a:schemeClr val="bg1"/>
              </a:solidFill>
              <a:effectLst>
                <a:outerShdw blurRad="50800" dist="38100" dir="5400000" algn="t" rotWithShape="0">
                  <a:prstClr val="black">
                    <a:alpha val="40000"/>
                  </a:prstClr>
                </a:outerShdw>
              </a:effectLst>
              <a:latin typeface="+mn-lt"/>
            </a:rPr>
          </a:br>
          <a:r>
            <a:rPr lang="en-US" sz="1000" b="1" cap="none" spc="0">
              <a:ln w="0">
                <a:noFill/>
              </a:ln>
              <a:solidFill>
                <a:schemeClr val="bg1"/>
              </a:solidFill>
              <a:effectLst>
                <a:outerShdw blurRad="50800" dist="38100" dir="5400000" algn="t" rotWithShape="0">
                  <a:prstClr val="black">
                    <a:alpha val="40000"/>
                  </a:prstClr>
                </a:outerShdw>
              </a:effectLst>
              <a:latin typeface="+mn-lt"/>
            </a:rPr>
            <a:t>DOHMH</a:t>
          </a:r>
        </a:p>
      </dgm:t>
    </dgm:pt>
    <dgm:pt modelId="{518E28FB-4FA9-4184-94D6-FC85040653DE}" type="parTrans" cxnId="{3E9791ED-2CC2-441B-B0C1-2B2308E24E56}">
      <dgm:prSet/>
      <dgm:spPr/>
      <dgm:t>
        <a:bodyPr/>
        <a:lstStyle/>
        <a:p>
          <a:endParaRPr lang="en-US"/>
        </a:p>
      </dgm:t>
    </dgm:pt>
    <dgm:pt modelId="{5245D106-A4F2-4F9A-93BA-81957BFFC877}" type="sibTrans" cxnId="{3E9791ED-2CC2-441B-B0C1-2B2308E24E56}">
      <dgm:prSet/>
      <dgm:spPr/>
      <dgm:t>
        <a:bodyPr/>
        <a:lstStyle/>
        <a:p>
          <a:endParaRPr lang="en-US"/>
        </a:p>
      </dgm:t>
    </dgm:pt>
    <dgm:pt modelId="{AEAFB03C-35A2-4BE9-A2D5-23E6AB23954E}">
      <dgm:prSet phldrT="[Text]" custT="1"/>
      <dgm:spPr>
        <a:solidFill>
          <a:srgbClr val="C00000"/>
        </a:solidFill>
        <a:scene3d>
          <a:camera prst="orthographicFront"/>
          <a:lightRig rig="threePt" dir="t"/>
        </a:scene3d>
        <a:sp3d>
          <a:bevelT/>
        </a:sp3d>
      </dgm:spPr>
      <dgm:t>
        <a:bodyPr/>
        <a:lstStyle/>
        <a:p>
          <a:r>
            <a:rPr lang="en-US" sz="1000" b="1" cap="none" spc="0">
              <a:ln w="0">
                <a:noFill/>
              </a:ln>
              <a:solidFill>
                <a:schemeClr val="bg1"/>
              </a:solidFill>
              <a:effectLst>
                <a:outerShdw blurRad="50800" dist="38100" dir="5400000" algn="t" rotWithShape="0">
                  <a:prstClr val="black">
                    <a:alpha val="40000"/>
                  </a:prstClr>
                </a:outerShdw>
              </a:effectLst>
              <a:latin typeface="+mn-lt"/>
            </a:rPr>
            <a:t>DIRECTOR</a:t>
          </a:r>
          <a:br>
            <a:rPr lang="en-US" sz="1000" b="1" cap="none" spc="0">
              <a:ln w="0">
                <a:noFill/>
              </a:ln>
              <a:solidFill>
                <a:schemeClr val="bg1"/>
              </a:solidFill>
              <a:effectLst>
                <a:outerShdw blurRad="50800" dist="38100" dir="5400000" algn="t" rotWithShape="0">
                  <a:prstClr val="black">
                    <a:alpha val="40000"/>
                  </a:prstClr>
                </a:outerShdw>
              </a:effectLst>
              <a:latin typeface="+mn-lt"/>
            </a:rPr>
          </a:br>
          <a:r>
            <a:rPr lang="en-US" sz="1000" b="1" cap="none" spc="0">
              <a:ln w="0">
                <a:noFill/>
              </a:ln>
              <a:solidFill>
                <a:schemeClr val="bg1"/>
              </a:solidFill>
              <a:effectLst>
                <a:outerShdw blurRad="50800" dist="38100" dir="5400000" algn="t" rotWithShape="0">
                  <a:prstClr val="black">
                    <a:alpha val="40000"/>
                  </a:prstClr>
                </a:outerShdw>
              </a:effectLst>
              <a:latin typeface="+mn-lt"/>
            </a:rPr>
            <a:t>OHS</a:t>
          </a:r>
          <a:endParaRPr lang="en-US" sz="1000">
            <a:ln>
              <a:solidFill>
                <a:sysClr val="windowText" lastClr="000000"/>
              </a:solidFill>
            </a:ln>
            <a:effectLst>
              <a:outerShdw blurRad="50800" dist="38100" dir="8100000" algn="tr" rotWithShape="0">
                <a:prstClr val="black">
                  <a:alpha val="40000"/>
                </a:prstClr>
              </a:outerShdw>
            </a:effectLst>
          </a:endParaRPr>
        </a:p>
      </dgm:t>
    </dgm:pt>
    <dgm:pt modelId="{674CD58F-8C53-4631-A5AA-EBBC1C5CA15D}" type="parTrans" cxnId="{90F5D56E-1094-4040-A02C-B261E8C2A5F6}">
      <dgm:prSet/>
      <dgm:spPr/>
      <dgm:t>
        <a:bodyPr/>
        <a:lstStyle/>
        <a:p>
          <a:endParaRPr lang="en-US"/>
        </a:p>
      </dgm:t>
    </dgm:pt>
    <dgm:pt modelId="{72B4377B-FED5-4292-A1CF-5CCF929704F1}" type="sibTrans" cxnId="{90F5D56E-1094-4040-A02C-B261E8C2A5F6}">
      <dgm:prSet/>
      <dgm:spPr/>
      <dgm:t>
        <a:bodyPr/>
        <a:lstStyle/>
        <a:p>
          <a:endParaRPr lang="en-US"/>
        </a:p>
      </dgm:t>
    </dgm:pt>
    <dgm:pt modelId="{684BFBFC-2469-409E-9569-5C82AE1670FB}">
      <dgm:prSet phldrT="[Text]"/>
      <dgm:spPr>
        <a:solidFill>
          <a:srgbClr val="C00000"/>
        </a:solidFill>
        <a:scene3d>
          <a:camera prst="orthographicFront"/>
          <a:lightRig rig="threePt" dir="t"/>
        </a:scene3d>
        <a:sp3d>
          <a:bevelT/>
        </a:sp3d>
      </dgm:spPr>
      <dgm:t>
        <a:bodyPr/>
        <a:lstStyle/>
        <a:p>
          <a:r>
            <a:rPr lang="en-US" b="1" cap="none" spc="0">
              <a:ln w="0">
                <a:noFill/>
              </a:ln>
              <a:solidFill>
                <a:schemeClr val="bg1"/>
              </a:solidFill>
              <a:effectLst>
                <a:outerShdw blurRad="50800" dist="38100" dir="5400000" algn="t" rotWithShape="0">
                  <a:prstClr val="black">
                    <a:alpha val="40000"/>
                  </a:prstClr>
                </a:outerShdw>
              </a:effectLst>
              <a:latin typeface="+mn-lt"/>
            </a:rPr>
            <a:t>PROGRAM MANAGER</a:t>
          </a:r>
          <a:endParaRPr lang="en-US"/>
        </a:p>
      </dgm:t>
    </dgm:pt>
    <dgm:pt modelId="{6E1A22BD-CC87-41AE-89EF-9B17120F973F}" type="parTrans" cxnId="{A9862779-74C0-470A-BED3-87E11EF750B7}">
      <dgm:prSet/>
      <dgm:spPr/>
      <dgm:t>
        <a:bodyPr/>
        <a:lstStyle/>
        <a:p>
          <a:endParaRPr lang="en-US"/>
        </a:p>
      </dgm:t>
    </dgm:pt>
    <dgm:pt modelId="{63131B7D-7154-417B-B0A1-FD7605B6C31C}" type="sibTrans" cxnId="{A9862779-74C0-470A-BED3-87E11EF750B7}">
      <dgm:prSet/>
      <dgm:spPr/>
      <dgm:t>
        <a:bodyPr/>
        <a:lstStyle/>
        <a:p>
          <a:endParaRPr lang="en-US"/>
        </a:p>
      </dgm:t>
    </dgm:pt>
    <dgm:pt modelId="{49F99B3B-CC85-4AD1-8387-22CD32847FD4}">
      <dgm:prSet phldrT="[Text]" custT="1"/>
      <dgm:spPr>
        <a:solidFill>
          <a:srgbClr val="C00000">
            <a:alpha val="94000"/>
          </a:srgbClr>
        </a:solidFill>
        <a:scene3d>
          <a:camera prst="orthographicFront"/>
          <a:lightRig rig="threePt" dir="t"/>
        </a:scene3d>
        <a:sp3d>
          <a:bevelT/>
        </a:sp3d>
      </dgm:spPr>
      <dgm:t>
        <a:bodyPr/>
        <a:lstStyle/>
        <a:p>
          <a:r>
            <a:rPr lang="en-US" sz="1000" b="1" cap="none" spc="0">
              <a:ln w="0">
                <a:noFill/>
              </a:ln>
              <a:solidFill>
                <a:schemeClr val="bg1"/>
              </a:solidFill>
              <a:effectLst>
                <a:outerShdw blurRad="50800" dist="38100" dir="5400000" algn="t" rotWithShape="0">
                  <a:prstClr val="black">
                    <a:alpha val="40000"/>
                  </a:prstClr>
                </a:outerShdw>
              </a:effectLst>
              <a:latin typeface="+mn-lt"/>
            </a:rPr>
            <a:t>CLINICAL </a:t>
          </a:r>
          <a:br>
            <a:rPr lang="en-US" sz="1000" b="1" cap="none" spc="0">
              <a:ln w="0">
                <a:noFill/>
              </a:ln>
              <a:solidFill>
                <a:schemeClr val="bg1"/>
              </a:solidFill>
              <a:effectLst>
                <a:outerShdw blurRad="50800" dist="38100" dir="5400000" algn="t" rotWithShape="0">
                  <a:prstClr val="black">
                    <a:alpha val="40000"/>
                  </a:prstClr>
                </a:outerShdw>
              </a:effectLst>
              <a:latin typeface="+mn-lt"/>
            </a:rPr>
          </a:br>
          <a:r>
            <a:rPr lang="en-US" sz="1000" b="1" cap="none" spc="0">
              <a:ln w="0">
                <a:noFill/>
              </a:ln>
              <a:solidFill>
                <a:schemeClr val="bg1"/>
              </a:solidFill>
              <a:effectLst>
                <a:outerShdw blurRad="50800" dist="38100" dir="5400000" algn="t" rotWithShape="0">
                  <a:prstClr val="black">
                    <a:alpha val="40000"/>
                  </a:prstClr>
                </a:outerShdw>
              </a:effectLst>
              <a:latin typeface="+mn-lt"/>
            </a:rPr>
            <a:t>SUPERVISOR</a:t>
          </a:r>
          <a:endParaRPr lang="en-US" sz="1000"/>
        </a:p>
      </dgm:t>
    </dgm:pt>
    <dgm:pt modelId="{788F7991-9057-4524-B0A2-08AE112B139D}" type="parTrans" cxnId="{7C8FC9B2-7215-42C1-A1EB-C9B7D24AD428}">
      <dgm:prSet/>
      <dgm:spPr/>
      <dgm:t>
        <a:bodyPr/>
        <a:lstStyle/>
        <a:p>
          <a:endParaRPr lang="en-US"/>
        </a:p>
      </dgm:t>
    </dgm:pt>
    <dgm:pt modelId="{60984B2B-EED6-4CC6-B867-663BE5DDFCFF}" type="sibTrans" cxnId="{7C8FC9B2-7215-42C1-A1EB-C9B7D24AD428}">
      <dgm:prSet/>
      <dgm:spPr/>
      <dgm:t>
        <a:bodyPr/>
        <a:lstStyle/>
        <a:p>
          <a:endParaRPr lang="en-US"/>
        </a:p>
      </dgm:t>
    </dgm:pt>
    <dgm:pt modelId="{0C4EC5D2-C9CE-4F13-B808-B14D00008FCE}">
      <dgm:prSet phldrT="[Text]"/>
      <dgm:spPr>
        <a:solidFill>
          <a:srgbClr val="C00000"/>
        </a:solidFill>
        <a:scene3d>
          <a:camera prst="orthographicFront"/>
          <a:lightRig rig="threePt" dir="t"/>
        </a:scene3d>
        <a:sp3d>
          <a:bevelT/>
        </a:sp3d>
      </dgm:spPr>
      <dgm:t>
        <a:bodyPr/>
        <a:lstStyle/>
        <a:p>
          <a:r>
            <a:rPr lang="en-US" b="1" cap="none" spc="0">
              <a:ln w="0">
                <a:noFill/>
              </a:ln>
              <a:solidFill>
                <a:schemeClr val="bg1"/>
              </a:solidFill>
              <a:effectLst>
                <a:outerShdw blurRad="50800" dist="38100" dir="5400000" algn="t" rotWithShape="0">
                  <a:prstClr val="black">
                    <a:alpha val="40000"/>
                  </a:prstClr>
                </a:outerShdw>
              </a:effectLst>
              <a:latin typeface="+mn-lt"/>
            </a:rPr>
            <a:t>OT/PT</a:t>
          </a:r>
          <a:br>
            <a:rPr lang="en-US" b="1" cap="none" spc="0">
              <a:ln w="0">
                <a:noFill/>
              </a:ln>
              <a:solidFill>
                <a:schemeClr val="bg1"/>
              </a:solidFill>
              <a:effectLst>
                <a:outerShdw blurRad="50800" dist="38100" dir="5400000" algn="t" rotWithShape="0">
                  <a:prstClr val="black">
                    <a:alpha val="40000"/>
                  </a:prstClr>
                </a:outerShdw>
              </a:effectLst>
              <a:latin typeface="+mn-lt"/>
            </a:rPr>
          </a:br>
          <a:r>
            <a:rPr lang="en-US" b="1" cap="none" spc="0">
              <a:ln w="0">
                <a:noFill/>
              </a:ln>
              <a:solidFill>
                <a:schemeClr val="bg1"/>
              </a:solidFill>
              <a:effectLst>
                <a:outerShdw blurRad="50800" dist="38100" dir="5400000" algn="t" rotWithShape="0">
                  <a:prstClr val="black">
                    <a:alpha val="40000"/>
                  </a:prstClr>
                </a:outerShdw>
              </a:effectLst>
              <a:latin typeface="+mn-lt"/>
            </a:rPr>
            <a:t> MEDICAID PHYSICIANS</a:t>
          </a:r>
          <a:endParaRPr lang="en-US"/>
        </a:p>
      </dgm:t>
    </dgm:pt>
    <dgm:pt modelId="{66FECDA8-8727-4574-88ED-BA5D90DF527F}" type="parTrans" cxnId="{CD9B76B0-1230-4AE5-9D17-C554F96438E4}">
      <dgm:prSet/>
      <dgm:spPr/>
      <dgm:t>
        <a:bodyPr/>
        <a:lstStyle/>
        <a:p>
          <a:endParaRPr lang="en-US"/>
        </a:p>
      </dgm:t>
    </dgm:pt>
    <dgm:pt modelId="{DEF93141-16D4-432E-89FE-347FAE9F2F5F}" type="sibTrans" cxnId="{CD9B76B0-1230-4AE5-9D17-C554F96438E4}">
      <dgm:prSet/>
      <dgm:spPr/>
      <dgm:t>
        <a:bodyPr/>
        <a:lstStyle/>
        <a:p>
          <a:endParaRPr lang="en-US"/>
        </a:p>
      </dgm:t>
    </dgm:pt>
    <dgm:pt modelId="{CEAE493B-F1D2-49CF-9991-4EEFF0FFD44E}">
      <dgm:prSet/>
      <dgm:spPr>
        <a:solidFill>
          <a:srgbClr val="C00000"/>
        </a:solidFill>
        <a:scene3d>
          <a:camera prst="orthographicFront"/>
          <a:lightRig rig="threePt" dir="t"/>
        </a:scene3d>
        <a:sp3d>
          <a:bevelT/>
        </a:sp3d>
      </dgm:spPr>
      <dgm:t>
        <a:bodyPr/>
        <a:lstStyle/>
        <a:p>
          <a:r>
            <a:rPr lang="en-US" b="1" cap="none" spc="0">
              <a:ln w="0">
                <a:noFill/>
              </a:ln>
              <a:solidFill>
                <a:schemeClr val="bg1"/>
              </a:solidFill>
              <a:effectLst>
                <a:outerShdw blurRad="50800" dist="38100" dir="5400000" algn="t" rotWithShape="0">
                  <a:prstClr val="black">
                    <a:alpha val="40000"/>
                  </a:prstClr>
                </a:outerShdw>
              </a:effectLst>
              <a:latin typeface="+mn-lt"/>
            </a:rPr>
            <a:t>PROGRAM SUPERVISOR</a:t>
          </a:r>
          <a:endParaRPr lang="en-US"/>
        </a:p>
      </dgm:t>
    </dgm:pt>
    <dgm:pt modelId="{2FE4A61A-2CAC-4BB0-AD3F-94F2EE689B15}" type="parTrans" cxnId="{99440E4A-4A16-4237-A2EF-459D6FD03ED3}">
      <dgm:prSet/>
      <dgm:spPr/>
      <dgm:t>
        <a:bodyPr/>
        <a:lstStyle/>
        <a:p>
          <a:endParaRPr lang="en-US"/>
        </a:p>
      </dgm:t>
    </dgm:pt>
    <dgm:pt modelId="{DFE916FC-0A0B-40AE-9330-AF7100BB42BC}" type="sibTrans" cxnId="{99440E4A-4A16-4237-A2EF-459D6FD03ED3}">
      <dgm:prSet/>
      <dgm:spPr/>
      <dgm:t>
        <a:bodyPr/>
        <a:lstStyle/>
        <a:p>
          <a:endParaRPr lang="en-US"/>
        </a:p>
      </dgm:t>
    </dgm:pt>
    <dgm:pt modelId="{A52E84AA-235F-4DBA-B40B-BA646619E39C}">
      <dgm:prSet/>
      <dgm:spPr>
        <a:solidFill>
          <a:srgbClr val="C00000"/>
        </a:solidFill>
        <a:scene3d>
          <a:camera prst="orthographicFront"/>
          <a:lightRig rig="threePt" dir="t"/>
        </a:scene3d>
        <a:sp3d>
          <a:bevelT/>
        </a:sp3d>
      </dgm:spPr>
      <dgm:t>
        <a:bodyPr/>
        <a:lstStyle/>
        <a:p>
          <a:r>
            <a:rPr lang="en-US" b="1" cap="none" spc="0">
              <a:ln w="0">
                <a:noFill/>
              </a:ln>
              <a:solidFill>
                <a:schemeClr val="bg1"/>
              </a:solidFill>
              <a:effectLst>
                <a:outerShdw blurRad="50800" dist="38100" dir="5400000" algn="t" rotWithShape="0">
                  <a:prstClr val="black">
                    <a:alpha val="40000"/>
                  </a:prstClr>
                </a:outerShdw>
              </a:effectLst>
              <a:latin typeface="+mn-lt"/>
            </a:rPr>
            <a:t>ADMINISTRATIVE STAFF</a:t>
          </a:r>
          <a:endParaRPr lang="en-US"/>
        </a:p>
      </dgm:t>
    </dgm:pt>
    <dgm:pt modelId="{DDE6AB56-6D01-4ADA-B03C-1BBA29002B15}" type="parTrans" cxnId="{4D916CC3-0AE1-4CDA-BAC3-CBA2200DEB48}">
      <dgm:prSet/>
      <dgm:spPr/>
      <dgm:t>
        <a:bodyPr/>
        <a:lstStyle/>
        <a:p>
          <a:endParaRPr lang="en-US"/>
        </a:p>
      </dgm:t>
    </dgm:pt>
    <dgm:pt modelId="{254FF87C-2DB5-4C85-8CBD-4C843EAC0E6C}" type="sibTrans" cxnId="{4D916CC3-0AE1-4CDA-BAC3-CBA2200DEB48}">
      <dgm:prSet/>
      <dgm:spPr/>
      <dgm:t>
        <a:bodyPr/>
        <a:lstStyle/>
        <a:p>
          <a:endParaRPr lang="en-US"/>
        </a:p>
      </dgm:t>
    </dgm:pt>
    <dgm:pt modelId="{CC89F0E2-CCA0-4E7B-B654-CC575CE1BD1F}" type="pres">
      <dgm:prSet presAssocID="{49D0F1A9-854F-4803-ACCE-96B8048960DD}" presName="mainComposite" presStyleCnt="0">
        <dgm:presLayoutVars>
          <dgm:chPref val="1"/>
          <dgm:dir/>
          <dgm:animOne val="branch"/>
          <dgm:animLvl val="lvl"/>
          <dgm:resizeHandles val="exact"/>
        </dgm:presLayoutVars>
      </dgm:prSet>
      <dgm:spPr/>
    </dgm:pt>
    <dgm:pt modelId="{245D56D6-077D-44DC-8824-A91AD56B9E60}" type="pres">
      <dgm:prSet presAssocID="{49D0F1A9-854F-4803-ACCE-96B8048960DD}" presName="hierFlow" presStyleCnt="0"/>
      <dgm:spPr/>
    </dgm:pt>
    <dgm:pt modelId="{4F814568-BE37-43EC-B544-D60045A5B4A8}" type="pres">
      <dgm:prSet presAssocID="{49D0F1A9-854F-4803-ACCE-96B8048960DD}" presName="hierChild1" presStyleCnt="0">
        <dgm:presLayoutVars>
          <dgm:chPref val="1"/>
          <dgm:animOne val="branch"/>
          <dgm:animLvl val="lvl"/>
        </dgm:presLayoutVars>
      </dgm:prSet>
      <dgm:spPr/>
    </dgm:pt>
    <dgm:pt modelId="{1BACAE14-FD5E-48C0-A21E-AEFA27E7AF52}" type="pres">
      <dgm:prSet presAssocID="{0030D36C-8D34-46E5-8094-3AC9FA662DDB}" presName="Name14" presStyleCnt="0"/>
      <dgm:spPr/>
    </dgm:pt>
    <dgm:pt modelId="{99FBA64E-7D6D-4028-AB01-CBA467E0280C}" type="pres">
      <dgm:prSet presAssocID="{0030D36C-8D34-46E5-8094-3AC9FA662DDB}" presName="level1Shape" presStyleLbl="node0" presStyleIdx="0" presStyleCnt="1" custScaleX="158665" custScaleY="75527">
        <dgm:presLayoutVars>
          <dgm:chPref val="3"/>
        </dgm:presLayoutVars>
      </dgm:prSet>
      <dgm:spPr/>
    </dgm:pt>
    <dgm:pt modelId="{80FB72CD-BCB4-4695-97ED-6AC09937468C}" type="pres">
      <dgm:prSet presAssocID="{0030D36C-8D34-46E5-8094-3AC9FA662DDB}" presName="hierChild2" presStyleCnt="0"/>
      <dgm:spPr/>
    </dgm:pt>
    <dgm:pt modelId="{3E3AFEDE-B232-4485-9A99-79B41AD68C1B}" type="pres">
      <dgm:prSet presAssocID="{674CD58F-8C53-4631-A5AA-EBBC1C5CA15D}" presName="Name19" presStyleLbl="parChTrans1D2" presStyleIdx="0" presStyleCnt="2"/>
      <dgm:spPr/>
    </dgm:pt>
    <dgm:pt modelId="{114CC352-7A63-4962-A4CF-75AB72B3C55A}" type="pres">
      <dgm:prSet presAssocID="{AEAFB03C-35A2-4BE9-A2D5-23E6AB23954E}" presName="Name21" presStyleCnt="0"/>
      <dgm:spPr/>
    </dgm:pt>
    <dgm:pt modelId="{0BBD8C40-0502-478A-BFBD-03A5EADE4560}" type="pres">
      <dgm:prSet presAssocID="{AEAFB03C-35A2-4BE9-A2D5-23E6AB23954E}" presName="level2Shape" presStyleLbl="node2" presStyleIdx="0" presStyleCnt="2" custScaleX="139949" custScaleY="67039"/>
      <dgm:spPr/>
    </dgm:pt>
    <dgm:pt modelId="{7106FCC2-18E6-4880-B1A2-B0D12BFCDC76}" type="pres">
      <dgm:prSet presAssocID="{AEAFB03C-35A2-4BE9-A2D5-23E6AB23954E}" presName="hierChild3" presStyleCnt="0"/>
      <dgm:spPr/>
    </dgm:pt>
    <dgm:pt modelId="{AA2124F4-892B-4E80-912F-B3C494E8E40C}" type="pres">
      <dgm:prSet presAssocID="{6E1A22BD-CC87-41AE-89EF-9B17120F973F}" presName="Name19" presStyleLbl="parChTrans1D3" presStyleIdx="0" presStyleCnt="2"/>
      <dgm:spPr/>
    </dgm:pt>
    <dgm:pt modelId="{97E2CAE3-1475-40C5-9720-99B34A5F235E}" type="pres">
      <dgm:prSet presAssocID="{684BFBFC-2469-409E-9569-5C82AE1670FB}" presName="Name21" presStyleCnt="0"/>
      <dgm:spPr/>
    </dgm:pt>
    <dgm:pt modelId="{C9CB5E1D-BC0D-4BE5-83A6-824DC24A9D70}" type="pres">
      <dgm:prSet presAssocID="{684BFBFC-2469-409E-9569-5C82AE1670FB}" presName="level2Shape" presStyleLbl="node3" presStyleIdx="0" presStyleCnt="2" custScaleX="156217" custScaleY="64407"/>
      <dgm:spPr/>
    </dgm:pt>
    <dgm:pt modelId="{BA5209C8-8FDD-4DAC-803C-C44D3A40DC28}" type="pres">
      <dgm:prSet presAssocID="{684BFBFC-2469-409E-9569-5C82AE1670FB}" presName="hierChild3" presStyleCnt="0"/>
      <dgm:spPr/>
    </dgm:pt>
    <dgm:pt modelId="{C432CBE1-1EE2-42A1-8BC2-8CAC15264B9D}" type="pres">
      <dgm:prSet presAssocID="{2FE4A61A-2CAC-4BB0-AD3F-94F2EE689B15}" presName="Name19" presStyleLbl="parChTrans1D4" presStyleIdx="0" presStyleCnt="2"/>
      <dgm:spPr/>
    </dgm:pt>
    <dgm:pt modelId="{499643D5-616A-4BE6-8CE4-A7E4AB1A042D}" type="pres">
      <dgm:prSet presAssocID="{CEAE493B-F1D2-49CF-9991-4EEFF0FFD44E}" presName="Name21" presStyleCnt="0"/>
      <dgm:spPr/>
    </dgm:pt>
    <dgm:pt modelId="{3435164E-D203-4488-9E1D-A69A449F31E7}" type="pres">
      <dgm:prSet presAssocID="{CEAE493B-F1D2-49CF-9991-4EEFF0FFD44E}" presName="level2Shape" presStyleLbl="node4" presStyleIdx="0" presStyleCnt="2" custScaleX="158112" custScaleY="74791"/>
      <dgm:spPr/>
    </dgm:pt>
    <dgm:pt modelId="{E60173C7-F9EA-4043-A6CE-9251D0C4DF16}" type="pres">
      <dgm:prSet presAssocID="{CEAE493B-F1D2-49CF-9991-4EEFF0FFD44E}" presName="hierChild3" presStyleCnt="0"/>
      <dgm:spPr/>
    </dgm:pt>
    <dgm:pt modelId="{7CEF79DF-C707-498C-9329-A3AB6BCCDCD6}" type="pres">
      <dgm:prSet presAssocID="{DDE6AB56-6D01-4ADA-B03C-1BBA29002B15}" presName="Name19" presStyleLbl="parChTrans1D4" presStyleIdx="1" presStyleCnt="2"/>
      <dgm:spPr/>
    </dgm:pt>
    <dgm:pt modelId="{8339FEB6-4291-4D56-B401-279F26C977A1}" type="pres">
      <dgm:prSet presAssocID="{A52E84AA-235F-4DBA-B40B-BA646619E39C}" presName="Name21" presStyleCnt="0"/>
      <dgm:spPr/>
    </dgm:pt>
    <dgm:pt modelId="{5E7FE718-E3B6-4475-B4F9-BF5DFF7608EF}" type="pres">
      <dgm:prSet presAssocID="{A52E84AA-235F-4DBA-B40B-BA646619E39C}" presName="level2Shape" presStyleLbl="node4" presStyleIdx="1" presStyleCnt="2" custScaleX="151568" custScaleY="80872"/>
      <dgm:spPr/>
    </dgm:pt>
    <dgm:pt modelId="{4FE377D5-29A2-4649-8E9E-3099FB62BD90}" type="pres">
      <dgm:prSet presAssocID="{A52E84AA-235F-4DBA-B40B-BA646619E39C}" presName="hierChild3" presStyleCnt="0"/>
      <dgm:spPr/>
    </dgm:pt>
    <dgm:pt modelId="{7CC02DA6-F464-4A97-ADB5-DA7906D830A1}" type="pres">
      <dgm:prSet presAssocID="{788F7991-9057-4524-B0A2-08AE112B139D}" presName="Name19" presStyleLbl="parChTrans1D2" presStyleIdx="1" presStyleCnt="2"/>
      <dgm:spPr/>
    </dgm:pt>
    <dgm:pt modelId="{38446D9D-FA7D-4B12-BF97-16E5322F851C}" type="pres">
      <dgm:prSet presAssocID="{49F99B3B-CC85-4AD1-8387-22CD32847FD4}" presName="Name21" presStyleCnt="0"/>
      <dgm:spPr/>
    </dgm:pt>
    <dgm:pt modelId="{374D70CB-0F4C-4230-B95B-D5F37259F595}" type="pres">
      <dgm:prSet presAssocID="{49F99B3B-CC85-4AD1-8387-22CD32847FD4}" presName="level2Shape" presStyleLbl="node2" presStyleIdx="1" presStyleCnt="2" custScaleX="147589" custScaleY="62198"/>
      <dgm:spPr/>
    </dgm:pt>
    <dgm:pt modelId="{369DED7D-3740-4A3B-8497-7224E6B6AE45}" type="pres">
      <dgm:prSet presAssocID="{49F99B3B-CC85-4AD1-8387-22CD32847FD4}" presName="hierChild3" presStyleCnt="0"/>
      <dgm:spPr/>
    </dgm:pt>
    <dgm:pt modelId="{A18E9EE1-2C0A-46A0-A787-72AA8F4D7C62}" type="pres">
      <dgm:prSet presAssocID="{66FECDA8-8727-4574-88ED-BA5D90DF527F}" presName="Name19" presStyleLbl="parChTrans1D3" presStyleIdx="1" presStyleCnt="2"/>
      <dgm:spPr/>
    </dgm:pt>
    <dgm:pt modelId="{8AA28DA0-7C59-4C9E-BF9E-6E3D58BAEBF8}" type="pres">
      <dgm:prSet presAssocID="{0C4EC5D2-C9CE-4F13-B808-B14D00008FCE}" presName="Name21" presStyleCnt="0"/>
      <dgm:spPr/>
    </dgm:pt>
    <dgm:pt modelId="{AB500F54-D69C-412E-BE83-B20037A2E6BB}" type="pres">
      <dgm:prSet presAssocID="{0C4EC5D2-C9CE-4F13-B808-B14D00008FCE}" presName="level2Shape" presStyleLbl="node3" presStyleIdx="1" presStyleCnt="2" custScaleX="142013" custScaleY="74497"/>
      <dgm:spPr/>
    </dgm:pt>
    <dgm:pt modelId="{725CD7D3-9260-4DF5-B800-79D58175B8A1}" type="pres">
      <dgm:prSet presAssocID="{0C4EC5D2-C9CE-4F13-B808-B14D00008FCE}" presName="hierChild3" presStyleCnt="0"/>
      <dgm:spPr/>
    </dgm:pt>
    <dgm:pt modelId="{A78970FF-BE4B-4B7A-B180-C1C87302541F}" type="pres">
      <dgm:prSet presAssocID="{49D0F1A9-854F-4803-ACCE-96B8048960DD}" presName="bgShapesFlow" presStyleCnt="0"/>
      <dgm:spPr/>
    </dgm:pt>
  </dgm:ptLst>
  <dgm:cxnLst>
    <dgm:cxn modelId="{0AC2D42F-C316-4E9E-9F39-1674715C7C18}" type="presOf" srcId="{CEAE493B-F1D2-49CF-9991-4EEFF0FFD44E}" destId="{3435164E-D203-4488-9E1D-A69A449F31E7}" srcOrd="0" destOrd="0" presId="urn:microsoft.com/office/officeart/2005/8/layout/hierarchy6"/>
    <dgm:cxn modelId="{37D4FB33-03DF-41EA-B565-EE5B84D2E448}" type="presOf" srcId="{A52E84AA-235F-4DBA-B40B-BA646619E39C}" destId="{5E7FE718-E3B6-4475-B4F9-BF5DFF7608EF}" srcOrd="0" destOrd="0" presId="urn:microsoft.com/office/officeart/2005/8/layout/hierarchy6"/>
    <dgm:cxn modelId="{9D11CE35-579A-4795-B154-226D23503A14}" type="presOf" srcId="{2FE4A61A-2CAC-4BB0-AD3F-94F2EE689B15}" destId="{C432CBE1-1EE2-42A1-8BC2-8CAC15264B9D}" srcOrd="0" destOrd="0" presId="urn:microsoft.com/office/officeart/2005/8/layout/hierarchy6"/>
    <dgm:cxn modelId="{E5776D3A-6DFD-4637-AE79-867400FCAE80}" type="presOf" srcId="{0C4EC5D2-C9CE-4F13-B808-B14D00008FCE}" destId="{AB500F54-D69C-412E-BE83-B20037A2E6BB}" srcOrd="0" destOrd="0" presId="urn:microsoft.com/office/officeart/2005/8/layout/hierarchy6"/>
    <dgm:cxn modelId="{8C00203B-75A2-4043-B568-AFC7A4BEEBB8}" type="presOf" srcId="{49F99B3B-CC85-4AD1-8387-22CD32847FD4}" destId="{374D70CB-0F4C-4230-B95B-D5F37259F595}" srcOrd="0" destOrd="0" presId="urn:microsoft.com/office/officeart/2005/8/layout/hierarchy6"/>
    <dgm:cxn modelId="{DE321B45-B1CD-4E4B-B7CB-F47805B92CA2}" type="presOf" srcId="{684BFBFC-2469-409E-9569-5C82AE1670FB}" destId="{C9CB5E1D-BC0D-4BE5-83A6-824DC24A9D70}" srcOrd="0" destOrd="0" presId="urn:microsoft.com/office/officeart/2005/8/layout/hierarchy6"/>
    <dgm:cxn modelId="{61CE3746-4FD6-4170-BF43-6E19D149D202}" type="presOf" srcId="{788F7991-9057-4524-B0A2-08AE112B139D}" destId="{7CC02DA6-F464-4A97-ADB5-DA7906D830A1}" srcOrd="0" destOrd="0" presId="urn:microsoft.com/office/officeart/2005/8/layout/hierarchy6"/>
    <dgm:cxn modelId="{A651A546-43A9-47FE-B96B-96E1338A6571}" type="presOf" srcId="{AEAFB03C-35A2-4BE9-A2D5-23E6AB23954E}" destId="{0BBD8C40-0502-478A-BFBD-03A5EADE4560}" srcOrd="0" destOrd="0" presId="urn:microsoft.com/office/officeart/2005/8/layout/hierarchy6"/>
    <dgm:cxn modelId="{99440E4A-4A16-4237-A2EF-459D6FD03ED3}" srcId="{684BFBFC-2469-409E-9569-5C82AE1670FB}" destId="{CEAE493B-F1D2-49CF-9991-4EEFF0FFD44E}" srcOrd="0" destOrd="0" parTransId="{2FE4A61A-2CAC-4BB0-AD3F-94F2EE689B15}" sibTransId="{DFE916FC-0A0B-40AE-9330-AF7100BB42BC}"/>
    <dgm:cxn modelId="{90F5D56E-1094-4040-A02C-B261E8C2A5F6}" srcId="{0030D36C-8D34-46E5-8094-3AC9FA662DDB}" destId="{AEAFB03C-35A2-4BE9-A2D5-23E6AB23954E}" srcOrd="0" destOrd="0" parTransId="{674CD58F-8C53-4631-A5AA-EBBC1C5CA15D}" sibTransId="{72B4377B-FED5-4292-A1CF-5CCF929704F1}"/>
    <dgm:cxn modelId="{A9862779-74C0-470A-BED3-87E11EF750B7}" srcId="{AEAFB03C-35A2-4BE9-A2D5-23E6AB23954E}" destId="{684BFBFC-2469-409E-9569-5C82AE1670FB}" srcOrd="0" destOrd="0" parTransId="{6E1A22BD-CC87-41AE-89EF-9B17120F973F}" sibTransId="{63131B7D-7154-417B-B0A1-FD7605B6C31C}"/>
    <dgm:cxn modelId="{CAE6E28A-369F-4306-AE91-012DB4575BD4}" type="presOf" srcId="{0030D36C-8D34-46E5-8094-3AC9FA662DDB}" destId="{99FBA64E-7D6D-4028-AB01-CBA467E0280C}" srcOrd="0" destOrd="0" presId="urn:microsoft.com/office/officeart/2005/8/layout/hierarchy6"/>
    <dgm:cxn modelId="{85E77AAE-4CBD-4E3C-A6B3-E62E23DA63D3}" type="presOf" srcId="{DDE6AB56-6D01-4ADA-B03C-1BBA29002B15}" destId="{7CEF79DF-C707-498C-9329-A3AB6BCCDCD6}" srcOrd="0" destOrd="0" presId="urn:microsoft.com/office/officeart/2005/8/layout/hierarchy6"/>
    <dgm:cxn modelId="{CD9B76B0-1230-4AE5-9D17-C554F96438E4}" srcId="{49F99B3B-CC85-4AD1-8387-22CD32847FD4}" destId="{0C4EC5D2-C9CE-4F13-B808-B14D00008FCE}" srcOrd="0" destOrd="0" parTransId="{66FECDA8-8727-4574-88ED-BA5D90DF527F}" sibTransId="{DEF93141-16D4-432E-89FE-347FAE9F2F5F}"/>
    <dgm:cxn modelId="{7C8FC9B2-7215-42C1-A1EB-C9B7D24AD428}" srcId="{0030D36C-8D34-46E5-8094-3AC9FA662DDB}" destId="{49F99B3B-CC85-4AD1-8387-22CD32847FD4}" srcOrd="1" destOrd="0" parTransId="{788F7991-9057-4524-B0A2-08AE112B139D}" sibTransId="{60984B2B-EED6-4CC6-B867-663BE5DDFCFF}"/>
    <dgm:cxn modelId="{4D916CC3-0AE1-4CDA-BAC3-CBA2200DEB48}" srcId="{CEAE493B-F1D2-49CF-9991-4EEFF0FFD44E}" destId="{A52E84AA-235F-4DBA-B40B-BA646619E39C}" srcOrd="0" destOrd="0" parTransId="{DDE6AB56-6D01-4ADA-B03C-1BBA29002B15}" sibTransId="{254FF87C-2DB5-4C85-8CBD-4C843EAC0E6C}"/>
    <dgm:cxn modelId="{904CBDD7-A89B-4570-B8D9-4241FFB68415}" type="presOf" srcId="{674CD58F-8C53-4631-A5AA-EBBC1C5CA15D}" destId="{3E3AFEDE-B232-4485-9A99-79B41AD68C1B}" srcOrd="0" destOrd="0" presId="urn:microsoft.com/office/officeart/2005/8/layout/hierarchy6"/>
    <dgm:cxn modelId="{BB59C0DD-988A-4AC2-AE38-BEA04E7CF038}" type="presOf" srcId="{49D0F1A9-854F-4803-ACCE-96B8048960DD}" destId="{CC89F0E2-CCA0-4E7B-B654-CC575CE1BD1F}" srcOrd="0" destOrd="0" presId="urn:microsoft.com/office/officeart/2005/8/layout/hierarchy6"/>
    <dgm:cxn modelId="{AEC58EE3-F353-4F8F-95C4-BFF099C13BED}" type="presOf" srcId="{6E1A22BD-CC87-41AE-89EF-9B17120F973F}" destId="{AA2124F4-892B-4E80-912F-B3C494E8E40C}" srcOrd="0" destOrd="0" presId="urn:microsoft.com/office/officeart/2005/8/layout/hierarchy6"/>
    <dgm:cxn modelId="{21C094EB-13CA-4F78-AAC8-E9CD0C4DFAFA}" type="presOf" srcId="{66FECDA8-8727-4574-88ED-BA5D90DF527F}" destId="{A18E9EE1-2C0A-46A0-A787-72AA8F4D7C62}" srcOrd="0" destOrd="0" presId="urn:microsoft.com/office/officeart/2005/8/layout/hierarchy6"/>
    <dgm:cxn modelId="{3E9791ED-2CC2-441B-B0C1-2B2308E24E56}" srcId="{49D0F1A9-854F-4803-ACCE-96B8048960DD}" destId="{0030D36C-8D34-46E5-8094-3AC9FA662DDB}" srcOrd="0" destOrd="0" parTransId="{518E28FB-4FA9-4184-94D6-FC85040653DE}" sibTransId="{5245D106-A4F2-4F9A-93BA-81957BFFC877}"/>
    <dgm:cxn modelId="{84E06CF4-C8FE-4965-AD9D-C833DF0501C8}" type="presParOf" srcId="{CC89F0E2-CCA0-4E7B-B654-CC575CE1BD1F}" destId="{245D56D6-077D-44DC-8824-A91AD56B9E60}" srcOrd="0" destOrd="0" presId="urn:microsoft.com/office/officeart/2005/8/layout/hierarchy6"/>
    <dgm:cxn modelId="{67B91851-625A-4B3D-BE97-3191654D7B63}" type="presParOf" srcId="{245D56D6-077D-44DC-8824-A91AD56B9E60}" destId="{4F814568-BE37-43EC-B544-D60045A5B4A8}" srcOrd="0" destOrd="0" presId="urn:microsoft.com/office/officeart/2005/8/layout/hierarchy6"/>
    <dgm:cxn modelId="{045813E0-39A5-45B5-815C-93516C25E377}" type="presParOf" srcId="{4F814568-BE37-43EC-B544-D60045A5B4A8}" destId="{1BACAE14-FD5E-48C0-A21E-AEFA27E7AF52}" srcOrd="0" destOrd="0" presId="urn:microsoft.com/office/officeart/2005/8/layout/hierarchy6"/>
    <dgm:cxn modelId="{15990232-E4CC-414F-9A7F-055699341E82}" type="presParOf" srcId="{1BACAE14-FD5E-48C0-A21E-AEFA27E7AF52}" destId="{99FBA64E-7D6D-4028-AB01-CBA467E0280C}" srcOrd="0" destOrd="0" presId="urn:microsoft.com/office/officeart/2005/8/layout/hierarchy6"/>
    <dgm:cxn modelId="{2B917719-4A34-400D-A847-F8B20BC5FAA9}" type="presParOf" srcId="{1BACAE14-FD5E-48C0-A21E-AEFA27E7AF52}" destId="{80FB72CD-BCB4-4695-97ED-6AC09937468C}" srcOrd="1" destOrd="0" presId="urn:microsoft.com/office/officeart/2005/8/layout/hierarchy6"/>
    <dgm:cxn modelId="{E70CBF4F-B04F-4BD3-83E6-F2347AD6BAC1}" type="presParOf" srcId="{80FB72CD-BCB4-4695-97ED-6AC09937468C}" destId="{3E3AFEDE-B232-4485-9A99-79B41AD68C1B}" srcOrd="0" destOrd="0" presId="urn:microsoft.com/office/officeart/2005/8/layout/hierarchy6"/>
    <dgm:cxn modelId="{848483E4-10E3-4F23-8CEA-9C08EA83E913}" type="presParOf" srcId="{80FB72CD-BCB4-4695-97ED-6AC09937468C}" destId="{114CC352-7A63-4962-A4CF-75AB72B3C55A}" srcOrd="1" destOrd="0" presId="urn:microsoft.com/office/officeart/2005/8/layout/hierarchy6"/>
    <dgm:cxn modelId="{DA1369FF-255D-4AF7-A99F-363A585F37C4}" type="presParOf" srcId="{114CC352-7A63-4962-A4CF-75AB72B3C55A}" destId="{0BBD8C40-0502-478A-BFBD-03A5EADE4560}" srcOrd="0" destOrd="0" presId="urn:microsoft.com/office/officeart/2005/8/layout/hierarchy6"/>
    <dgm:cxn modelId="{F67C481A-C772-44DD-B564-66154FB91B15}" type="presParOf" srcId="{114CC352-7A63-4962-A4CF-75AB72B3C55A}" destId="{7106FCC2-18E6-4880-B1A2-B0D12BFCDC76}" srcOrd="1" destOrd="0" presId="urn:microsoft.com/office/officeart/2005/8/layout/hierarchy6"/>
    <dgm:cxn modelId="{FF7A4B7C-6F2C-4EEE-A095-2F91D2264A07}" type="presParOf" srcId="{7106FCC2-18E6-4880-B1A2-B0D12BFCDC76}" destId="{AA2124F4-892B-4E80-912F-B3C494E8E40C}" srcOrd="0" destOrd="0" presId="urn:microsoft.com/office/officeart/2005/8/layout/hierarchy6"/>
    <dgm:cxn modelId="{8198F63C-F97C-4B2F-82E2-933AFDA5840F}" type="presParOf" srcId="{7106FCC2-18E6-4880-B1A2-B0D12BFCDC76}" destId="{97E2CAE3-1475-40C5-9720-99B34A5F235E}" srcOrd="1" destOrd="0" presId="urn:microsoft.com/office/officeart/2005/8/layout/hierarchy6"/>
    <dgm:cxn modelId="{DCA87117-0651-4665-A58B-185BFD2AF5E7}" type="presParOf" srcId="{97E2CAE3-1475-40C5-9720-99B34A5F235E}" destId="{C9CB5E1D-BC0D-4BE5-83A6-824DC24A9D70}" srcOrd="0" destOrd="0" presId="urn:microsoft.com/office/officeart/2005/8/layout/hierarchy6"/>
    <dgm:cxn modelId="{8DF64A47-5F83-4C6A-9247-44ADC624FA0F}" type="presParOf" srcId="{97E2CAE3-1475-40C5-9720-99B34A5F235E}" destId="{BA5209C8-8FDD-4DAC-803C-C44D3A40DC28}" srcOrd="1" destOrd="0" presId="urn:microsoft.com/office/officeart/2005/8/layout/hierarchy6"/>
    <dgm:cxn modelId="{6F2BB6FA-559F-4946-947D-B5DFA731F052}" type="presParOf" srcId="{BA5209C8-8FDD-4DAC-803C-C44D3A40DC28}" destId="{C432CBE1-1EE2-42A1-8BC2-8CAC15264B9D}" srcOrd="0" destOrd="0" presId="urn:microsoft.com/office/officeart/2005/8/layout/hierarchy6"/>
    <dgm:cxn modelId="{1E8FC8E6-E2BC-4908-8E2D-C254F43CE790}" type="presParOf" srcId="{BA5209C8-8FDD-4DAC-803C-C44D3A40DC28}" destId="{499643D5-616A-4BE6-8CE4-A7E4AB1A042D}" srcOrd="1" destOrd="0" presId="urn:microsoft.com/office/officeart/2005/8/layout/hierarchy6"/>
    <dgm:cxn modelId="{37105DFB-4914-43EE-AA04-669AF328D54A}" type="presParOf" srcId="{499643D5-616A-4BE6-8CE4-A7E4AB1A042D}" destId="{3435164E-D203-4488-9E1D-A69A449F31E7}" srcOrd="0" destOrd="0" presId="urn:microsoft.com/office/officeart/2005/8/layout/hierarchy6"/>
    <dgm:cxn modelId="{3A5A9241-6F5B-4936-98C7-ED2C2AC7CA7B}" type="presParOf" srcId="{499643D5-616A-4BE6-8CE4-A7E4AB1A042D}" destId="{E60173C7-F9EA-4043-A6CE-9251D0C4DF16}" srcOrd="1" destOrd="0" presId="urn:microsoft.com/office/officeart/2005/8/layout/hierarchy6"/>
    <dgm:cxn modelId="{DE304996-EDEA-4E18-A439-87E96AEFE840}" type="presParOf" srcId="{E60173C7-F9EA-4043-A6CE-9251D0C4DF16}" destId="{7CEF79DF-C707-498C-9329-A3AB6BCCDCD6}" srcOrd="0" destOrd="0" presId="urn:microsoft.com/office/officeart/2005/8/layout/hierarchy6"/>
    <dgm:cxn modelId="{AEBD5476-33FD-4810-8AB8-8F9B73417AE2}" type="presParOf" srcId="{E60173C7-F9EA-4043-A6CE-9251D0C4DF16}" destId="{8339FEB6-4291-4D56-B401-279F26C977A1}" srcOrd="1" destOrd="0" presId="urn:microsoft.com/office/officeart/2005/8/layout/hierarchy6"/>
    <dgm:cxn modelId="{EFBAB470-6004-40FD-8EA8-627E79D30CB2}" type="presParOf" srcId="{8339FEB6-4291-4D56-B401-279F26C977A1}" destId="{5E7FE718-E3B6-4475-B4F9-BF5DFF7608EF}" srcOrd="0" destOrd="0" presId="urn:microsoft.com/office/officeart/2005/8/layout/hierarchy6"/>
    <dgm:cxn modelId="{9AD9CB27-EB92-429A-B684-6AE89A5C7456}" type="presParOf" srcId="{8339FEB6-4291-4D56-B401-279F26C977A1}" destId="{4FE377D5-29A2-4649-8E9E-3099FB62BD90}" srcOrd="1" destOrd="0" presId="urn:microsoft.com/office/officeart/2005/8/layout/hierarchy6"/>
    <dgm:cxn modelId="{ADEF22EA-9275-4D90-8349-6E4D93EF83D5}" type="presParOf" srcId="{80FB72CD-BCB4-4695-97ED-6AC09937468C}" destId="{7CC02DA6-F464-4A97-ADB5-DA7906D830A1}" srcOrd="2" destOrd="0" presId="urn:microsoft.com/office/officeart/2005/8/layout/hierarchy6"/>
    <dgm:cxn modelId="{C3B8A2FB-B6BF-468C-A26B-7FFB3D41F5FB}" type="presParOf" srcId="{80FB72CD-BCB4-4695-97ED-6AC09937468C}" destId="{38446D9D-FA7D-4B12-BF97-16E5322F851C}" srcOrd="3" destOrd="0" presId="urn:microsoft.com/office/officeart/2005/8/layout/hierarchy6"/>
    <dgm:cxn modelId="{6A782C82-B686-4AD5-8E0F-3457BF89270D}" type="presParOf" srcId="{38446D9D-FA7D-4B12-BF97-16E5322F851C}" destId="{374D70CB-0F4C-4230-B95B-D5F37259F595}" srcOrd="0" destOrd="0" presId="urn:microsoft.com/office/officeart/2005/8/layout/hierarchy6"/>
    <dgm:cxn modelId="{E35F91AF-32B9-4E14-AA45-72C3AFD0E998}" type="presParOf" srcId="{38446D9D-FA7D-4B12-BF97-16E5322F851C}" destId="{369DED7D-3740-4A3B-8497-7224E6B6AE45}" srcOrd="1" destOrd="0" presId="urn:microsoft.com/office/officeart/2005/8/layout/hierarchy6"/>
    <dgm:cxn modelId="{02DCD9C4-BDAB-4492-B35C-6052E488A258}" type="presParOf" srcId="{369DED7D-3740-4A3B-8497-7224E6B6AE45}" destId="{A18E9EE1-2C0A-46A0-A787-72AA8F4D7C62}" srcOrd="0" destOrd="0" presId="urn:microsoft.com/office/officeart/2005/8/layout/hierarchy6"/>
    <dgm:cxn modelId="{E56E31CA-E76B-4B29-A07A-18EA7AC74AC6}" type="presParOf" srcId="{369DED7D-3740-4A3B-8497-7224E6B6AE45}" destId="{8AA28DA0-7C59-4C9E-BF9E-6E3D58BAEBF8}" srcOrd="1" destOrd="0" presId="urn:microsoft.com/office/officeart/2005/8/layout/hierarchy6"/>
    <dgm:cxn modelId="{1832A197-7FE2-4CE3-A000-CE36DE3E4FA5}" type="presParOf" srcId="{8AA28DA0-7C59-4C9E-BF9E-6E3D58BAEBF8}" destId="{AB500F54-D69C-412E-BE83-B20037A2E6BB}" srcOrd="0" destOrd="0" presId="urn:microsoft.com/office/officeart/2005/8/layout/hierarchy6"/>
    <dgm:cxn modelId="{EC3D82F7-A34D-4C36-AD09-9CC629A8264E}" type="presParOf" srcId="{8AA28DA0-7C59-4C9E-BF9E-6E3D58BAEBF8}" destId="{725CD7D3-9260-4DF5-B800-79D58175B8A1}" srcOrd="1" destOrd="0" presId="urn:microsoft.com/office/officeart/2005/8/layout/hierarchy6"/>
    <dgm:cxn modelId="{260E3119-6A9C-4D31-AC17-7CCFD1159452}" type="presParOf" srcId="{CC89F0E2-CCA0-4E7B-B654-CC575CE1BD1F}" destId="{A78970FF-BE4B-4B7A-B180-C1C87302541F}" srcOrd="1" destOrd="0" presId="urn:microsoft.com/office/officeart/2005/8/layout/hierarchy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FBA64E-7D6D-4028-AB01-CBA467E0280C}">
      <dsp:nvSpPr>
        <dsp:cNvPr id="0" name=""/>
        <dsp:cNvSpPr/>
      </dsp:nvSpPr>
      <dsp:spPr>
        <a:xfrm>
          <a:off x="1859206" y="111050"/>
          <a:ext cx="1885427" cy="598328"/>
        </a:xfrm>
        <a:prstGeom prst="roundRect">
          <a:avLst>
            <a:gd name="adj" fmla="val 10000"/>
          </a:avLst>
        </a:prstGeom>
        <a:solidFill>
          <a:srgbClr val="C00000"/>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cap="none" spc="0">
              <a:ln w="0">
                <a:noFill/>
              </a:ln>
              <a:solidFill>
                <a:schemeClr val="bg1"/>
              </a:solidFill>
              <a:effectLst>
                <a:outerShdw blurRad="50800" dist="38100" dir="5400000" algn="t" rotWithShape="0">
                  <a:prstClr val="black">
                    <a:alpha val="40000"/>
                  </a:prstClr>
                </a:outerShdw>
              </a:effectLst>
              <a:latin typeface="+mn-lt"/>
            </a:rPr>
            <a:t>DEPUTY COMMISSIONER</a:t>
          </a:r>
          <a:br>
            <a:rPr lang="en-US" sz="1000" b="1" kern="1200" cap="none" spc="0">
              <a:ln w="0">
                <a:noFill/>
              </a:ln>
              <a:solidFill>
                <a:schemeClr val="bg1"/>
              </a:solidFill>
              <a:effectLst>
                <a:outerShdw blurRad="50800" dist="38100" dir="5400000" algn="t" rotWithShape="0">
                  <a:prstClr val="black">
                    <a:alpha val="40000"/>
                  </a:prstClr>
                </a:outerShdw>
              </a:effectLst>
              <a:latin typeface="+mn-lt"/>
            </a:rPr>
          </a:br>
          <a:r>
            <a:rPr lang="en-US" sz="1000" b="1" kern="1200" cap="none" spc="0">
              <a:ln w="0">
                <a:noFill/>
              </a:ln>
              <a:solidFill>
                <a:schemeClr val="bg1"/>
              </a:solidFill>
              <a:effectLst>
                <a:outerShdw blurRad="50800" dist="38100" dir="5400000" algn="t" rotWithShape="0">
                  <a:prstClr val="black">
                    <a:alpha val="40000"/>
                  </a:prstClr>
                </a:outerShdw>
              </a:effectLst>
              <a:latin typeface="+mn-lt"/>
            </a:rPr>
            <a:t>DOHMH</a:t>
          </a:r>
        </a:p>
      </dsp:txBody>
      <dsp:txXfrm>
        <a:off x="1876730" y="128574"/>
        <a:ext cx="1850379" cy="563280"/>
      </dsp:txXfrm>
    </dsp:sp>
    <dsp:sp modelId="{3E3AFEDE-B232-4485-9A99-79B41AD68C1B}">
      <dsp:nvSpPr>
        <dsp:cNvPr id="0" name=""/>
        <dsp:cNvSpPr/>
      </dsp:nvSpPr>
      <dsp:spPr>
        <a:xfrm>
          <a:off x="1715005" y="709379"/>
          <a:ext cx="1086915" cy="316881"/>
        </a:xfrm>
        <a:custGeom>
          <a:avLst/>
          <a:gdLst/>
          <a:ahLst/>
          <a:cxnLst/>
          <a:rect l="0" t="0" r="0" b="0"/>
          <a:pathLst>
            <a:path>
              <a:moveTo>
                <a:pt x="1086915" y="0"/>
              </a:moveTo>
              <a:lnTo>
                <a:pt x="1086915" y="158440"/>
              </a:lnTo>
              <a:lnTo>
                <a:pt x="0" y="158440"/>
              </a:lnTo>
              <a:lnTo>
                <a:pt x="0" y="3168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BD8C40-0502-478A-BFBD-03A5EADE4560}">
      <dsp:nvSpPr>
        <dsp:cNvPr id="0" name=""/>
        <dsp:cNvSpPr/>
      </dsp:nvSpPr>
      <dsp:spPr>
        <a:xfrm>
          <a:off x="883493" y="1026261"/>
          <a:ext cx="1663024" cy="531086"/>
        </a:xfrm>
        <a:prstGeom prst="roundRect">
          <a:avLst>
            <a:gd name="adj" fmla="val 10000"/>
          </a:avLst>
        </a:prstGeom>
        <a:solidFill>
          <a:srgbClr val="C00000"/>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cap="none" spc="0">
              <a:ln w="0">
                <a:noFill/>
              </a:ln>
              <a:solidFill>
                <a:schemeClr val="bg1"/>
              </a:solidFill>
              <a:effectLst>
                <a:outerShdw blurRad="50800" dist="38100" dir="5400000" algn="t" rotWithShape="0">
                  <a:prstClr val="black">
                    <a:alpha val="40000"/>
                  </a:prstClr>
                </a:outerShdw>
              </a:effectLst>
              <a:latin typeface="+mn-lt"/>
            </a:rPr>
            <a:t>DIRECTOR</a:t>
          </a:r>
          <a:br>
            <a:rPr lang="en-US" sz="1000" b="1" kern="1200" cap="none" spc="0">
              <a:ln w="0">
                <a:noFill/>
              </a:ln>
              <a:solidFill>
                <a:schemeClr val="bg1"/>
              </a:solidFill>
              <a:effectLst>
                <a:outerShdw blurRad="50800" dist="38100" dir="5400000" algn="t" rotWithShape="0">
                  <a:prstClr val="black">
                    <a:alpha val="40000"/>
                  </a:prstClr>
                </a:outerShdw>
              </a:effectLst>
              <a:latin typeface="+mn-lt"/>
            </a:rPr>
          </a:br>
          <a:r>
            <a:rPr lang="en-US" sz="1000" b="1" kern="1200" cap="none" spc="0">
              <a:ln w="0">
                <a:noFill/>
              </a:ln>
              <a:solidFill>
                <a:schemeClr val="bg1"/>
              </a:solidFill>
              <a:effectLst>
                <a:outerShdw blurRad="50800" dist="38100" dir="5400000" algn="t" rotWithShape="0">
                  <a:prstClr val="black">
                    <a:alpha val="40000"/>
                  </a:prstClr>
                </a:outerShdw>
              </a:effectLst>
              <a:latin typeface="+mn-lt"/>
            </a:rPr>
            <a:t>OHS</a:t>
          </a:r>
          <a:endParaRPr lang="en-US" sz="1000" kern="1200">
            <a:ln>
              <a:solidFill>
                <a:sysClr val="windowText" lastClr="000000"/>
              </a:solidFill>
            </a:ln>
            <a:effectLst>
              <a:outerShdw blurRad="50800" dist="38100" dir="8100000" algn="tr" rotWithShape="0">
                <a:prstClr val="black">
                  <a:alpha val="40000"/>
                </a:prstClr>
              </a:outerShdw>
            </a:effectLst>
          </a:endParaRPr>
        </a:p>
      </dsp:txBody>
      <dsp:txXfrm>
        <a:off x="899048" y="1041816"/>
        <a:ext cx="1631914" cy="499976"/>
      </dsp:txXfrm>
    </dsp:sp>
    <dsp:sp modelId="{AA2124F4-892B-4E80-912F-B3C494E8E40C}">
      <dsp:nvSpPr>
        <dsp:cNvPr id="0" name=""/>
        <dsp:cNvSpPr/>
      </dsp:nvSpPr>
      <dsp:spPr>
        <a:xfrm>
          <a:off x="1669285" y="1557347"/>
          <a:ext cx="91440" cy="316881"/>
        </a:xfrm>
        <a:custGeom>
          <a:avLst/>
          <a:gdLst/>
          <a:ahLst/>
          <a:cxnLst/>
          <a:rect l="0" t="0" r="0" b="0"/>
          <a:pathLst>
            <a:path>
              <a:moveTo>
                <a:pt x="45720" y="0"/>
              </a:moveTo>
              <a:lnTo>
                <a:pt x="45720" y="3168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CB5E1D-BC0D-4BE5-83A6-824DC24A9D70}">
      <dsp:nvSpPr>
        <dsp:cNvPr id="0" name=""/>
        <dsp:cNvSpPr/>
      </dsp:nvSpPr>
      <dsp:spPr>
        <a:xfrm>
          <a:off x="786836" y="1874229"/>
          <a:ext cx="1856338" cy="510235"/>
        </a:xfrm>
        <a:prstGeom prst="roundRect">
          <a:avLst>
            <a:gd name="adj" fmla="val 10000"/>
          </a:avLst>
        </a:prstGeom>
        <a:solidFill>
          <a:srgbClr val="C00000"/>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cap="none" spc="0">
              <a:ln w="0">
                <a:noFill/>
              </a:ln>
              <a:solidFill>
                <a:schemeClr val="bg1"/>
              </a:solidFill>
              <a:effectLst>
                <a:outerShdw blurRad="50800" dist="38100" dir="5400000" algn="t" rotWithShape="0">
                  <a:prstClr val="black">
                    <a:alpha val="40000"/>
                  </a:prstClr>
                </a:outerShdw>
              </a:effectLst>
              <a:latin typeface="+mn-lt"/>
            </a:rPr>
            <a:t>PROGRAM MANAGER</a:t>
          </a:r>
          <a:endParaRPr lang="en-US" sz="1200" kern="1200"/>
        </a:p>
      </dsp:txBody>
      <dsp:txXfrm>
        <a:off x="801780" y="1889173"/>
        <a:ext cx="1826450" cy="480347"/>
      </dsp:txXfrm>
    </dsp:sp>
    <dsp:sp modelId="{C432CBE1-1EE2-42A1-8BC2-8CAC15264B9D}">
      <dsp:nvSpPr>
        <dsp:cNvPr id="0" name=""/>
        <dsp:cNvSpPr/>
      </dsp:nvSpPr>
      <dsp:spPr>
        <a:xfrm>
          <a:off x="1669285" y="2384465"/>
          <a:ext cx="91440" cy="316881"/>
        </a:xfrm>
        <a:custGeom>
          <a:avLst/>
          <a:gdLst/>
          <a:ahLst/>
          <a:cxnLst/>
          <a:rect l="0" t="0" r="0" b="0"/>
          <a:pathLst>
            <a:path>
              <a:moveTo>
                <a:pt x="45720" y="0"/>
              </a:moveTo>
              <a:lnTo>
                <a:pt x="45720" y="3168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35164E-D203-4488-9E1D-A69A449F31E7}">
      <dsp:nvSpPr>
        <dsp:cNvPr id="0" name=""/>
        <dsp:cNvSpPr/>
      </dsp:nvSpPr>
      <dsp:spPr>
        <a:xfrm>
          <a:off x="775577" y="2701347"/>
          <a:ext cx="1878856" cy="592497"/>
        </a:xfrm>
        <a:prstGeom prst="roundRect">
          <a:avLst>
            <a:gd name="adj" fmla="val 10000"/>
          </a:avLst>
        </a:prstGeom>
        <a:solidFill>
          <a:srgbClr val="C00000"/>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cap="none" spc="0">
              <a:ln w="0">
                <a:noFill/>
              </a:ln>
              <a:solidFill>
                <a:schemeClr val="bg1"/>
              </a:solidFill>
              <a:effectLst>
                <a:outerShdw blurRad="50800" dist="38100" dir="5400000" algn="t" rotWithShape="0">
                  <a:prstClr val="black">
                    <a:alpha val="40000"/>
                  </a:prstClr>
                </a:outerShdw>
              </a:effectLst>
              <a:latin typeface="+mn-lt"/>
            </a:rPr>
            <a:t>PROGRAM SUPERVISOR</a:t>
          </a:r>
          <a:endParaRPr lang="en-US" sz="1200" kern="1200"/>
        </a:p>
      </dsp:txBody>
      <dsp:txXfrm>
        <a:off x="792931" y="2718701"/>
        <a:ext cx="1844148" cy="557789"/>
      </dsp:txXfrm>
    </dsp:sp>
    <dsp:sp modelId="{7CEF79DF-C707-498C-9329-A3AB6BCCDCD6}">
      <dsp:nvSpPr>
        <dsp:cNvPr id="0" name=""/>
        <dsp:cNvSpPr/>
      </dsp:nvSpPr>
      <dsp:spPr>
        <a:xfrm>
          <a:off x="1669285" y="3293845"/>
          <a:ext cx="91440" cy="316881"/>
        </a:xfrm>
        <a:custGeom>
          <a:avLst/>
          <a:gdLst/>
          <a:ahLst/>
          <a:cxnLst/>
          <a:rect l="0" t="0" r="0" b="0"/>
          <a:pathLst>
            <a:path>
              <a:moveTo>
                <a:pt x="45720" y="0"/>
              </a:moveTo>
              <a:lnTo>
                <a:pt x="45720" y="3168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7FE718-E3B6-4475-B4F9-BF5DFF7608EF}">
      <dsp:nvSpPr>
        <dsp:cNvPr id="0" name=""/>
        <dsp:cNvSpPr/>
      </dsp:nvSpPr>
      <dsp:spPr>
        <a:xfrm>
          <a:off x="814458" y="3610727"/>
          <a:ext cx="1801093" cy="640671"/>
        </a:xfrm>
        <a:prstGeom prst="roundRect">
          <a:avLst>
            <a:gd name="adj" fmla="val 10000"/>
          </a:avLst>
        </a:prstGeom>
        <a:solidFill>
          <a:srgbClr val="C00000"/>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cap="none" spc="0">
              <a:ln w="0">
                <a:noFill/>
              </a:ln>
              <a:solidFill>
                <a:schemeClr val="bg1"/>
              </a:solidFill>
              <a:effectLst>
                <a:outerShdw blurRad="50800" dist="38100" dir="5400000" algn="t" rotWithShape="0">
                  <a:prstClr val="black">
                    <a:alpha val="40000"/>
                  </a:prstClr>
                </a:outerShdw>
              </a:effectLst>
              <a:latin typeface="+mn-lt"/>
            </a:rPr>
            <a:t>ADMINISTRATIVE STAFF</a:t>
          </a:r>
          <a:endParaRPr lang="en-US" sz="1200" kern="1200"/>
        </a:p>
      </dsp:txBody>
      <dsp:txXfrm>
        <a:off x="833223" y="3629492"/>
        <a:ext cx="1763563" cy="603141"/>
      </dsp:txXfrm>
    </dsp:sp>
    <dsp:sp modelId="{7CC02DA6-F464-4A97-ADB5-DA7906D830A1}">
      <dsp:nvSpPr>
        <dsp:cNvPr id="0" name=""/>
        <dsp:cNvSpPr/>
      </dsp:nvSpPr>
      <dsp:spPr>
        <a:xfrm>
          <a:off x="2801920" y="709379"/>
          <a:ext cx="1041521" cy="316881"/>
        </a:xfrm>
        <a:custGeom>
          <a:avLst/>
          <a:gdLst/>
          <a:ahLst/>
          <a:cxnLst/>
          <a:rect l="0" t="0" r="0" b="0"/>
          <a:pathLst>
            <a:path>
              <a:moveTo>
                <a:pt x="0" y="0"/>
              </a:moveTo>
              <a:lnTo>
                <a:pt x="0" y="158440"/>
              </a:lnTo>
              <a:lnTo>
                <a:pt x="1041521" y="158440"/>
              </a:lnTo>
              <a:lnTo>
                <a:pt x="1041521" y="3168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4D70CB-0F4C-4230-B95B-D5F37259F595}">
      <dsp:nvSpPr>
        <dsp:cNvPr id="0" name=""/>
        <dsp:cNvSpPr/>
      </dsp:nvSpPr>
      <dsp:spPr>
        <a:xfrm>
          <a:off x="2966536" y="1026261"/>
          <a:ext cx="1753811" cy="492735"/>
        </a:xfrm>
        <a:prstGeom prst="roundRect">
          <a:avLst>
            <a:gd name="adj" fmla="val 10000"/>
          </a:avLst>
        </a:prstGeom>
        <a:solidFill>
          <a:srgbClr val="C00000">
            <a:alpha val="94000"/>
          </a:srgb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cap="none" spc="0">
              <a:ln w="0">
                <a:noFill/>
              </a:ln>
              <a:solidFill>
                <a:schemeClr val="bg1"/>
              </a:solidFill>
              <a:effectLst>
                <a:outerShdw blurRad="50800" dist="38100" dir="5400000" algn="t" rotWithShape="0">
                  <a:prstClr val="black">
                    <a:alpha val="40000"/>
                  </a:prstClr>
                </a:outerShdw>
              </a:effectLst>
              <a:latin typeface="+mn-lt"/>
            </a:rPr>
            <a:t>CLINICAL </a:t>
          </a:r>
          <a:br>
            <a:rPr lang="en-US" sz="1000" b="1" kern="1200" cap="none" spc="0">
              <a:ln w="0">
                <a:noFill/>
              </a:ln>
              <a:solidFill>
                <a:schemeClr val="bg1"/>
              </a:solidFill>
              <a:effectLst>
                <a:outerShdw blurRad="50800" dist="38100" dir="5400000" algn="t" rotWithShape="0">
                  <a:prstClr val="black">
                    <a:alpha val="40000"/>
                  </a:prstClr>
                </a:outerShdw>
              </a:effectLst>
              <a:latin typeface="+mn-lt"/>
            </a:rPr>
          </a:br>
          <a:r>
            <a:rPr lang="en-US" sz="1000" b="1" kern="1200" cap="none" spc="0">
              <a:ln w="0">
                <a:noFill/>
              </a:ln>
              <a:solidFill>
                <a:schemeClr val="bg1"/>
              </a:solidFill>
              <a:effectLst>
                <a:outerShdw blurRad="50800" dist="38100" dir="5400000" algn="t" rotWithShape="0">
                  <a:prstClr val="black">
                    <a:alpha val="40000"/>
                  </a:prstClr>
                </a:outerShdw>
              </a:effectLst>
              <a:latin typeface="+mn-lt"/>
            </a:rPr>
            <a:t>SUPERVISOR</a:t>
          </a:r>
          <a:endParaRPr lang="en-US" sz="1000" kern="1200"/>
        </a:p>
      </dsp:txBody>
      <dsp:txXfrm>
        <a:off x="2980968" y="1040693"/>
        <a:ext cx="1724947" cy="463871"/>
      </dsp:txXfrm>
    </dsp:sp>
    <dsp:sp modelId="{A18E9EE1-2C0A-46A0-A787-72AA8F4D7C62}">
      <dsp:nvSpPr>
        <dsp:cNvPr id="0" name=""/>
        <dsp:cNvSpPr/>
      </dsp:nvSpPr>
      <dsp:spPr>
        <a:xfrm>
          <a:off x="3797722" y="1518997"/>
          <a:ext cx="91440" cy="316881"/>
        </a:xfrm>
        <a:custGeom>
          <a:avLst/>
          <a:gdLst/>
          <a:ahLst/>
          <a:cxnLst/>
          <a:rect l="0" t="0" r="0" b="0"/>
          <a:pathLst>
            <a:path>
              <a:moveTo>
                <a:pt x="45720" y="0"/>
              </a:moveTo>
              <a:lnTo>
                <a:pt x="45720" y="3168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500F54-D69C-412E-BE83-B20037A2E6BB}">
      <dsp:nvSpPr>
        <dsp:cNvPr id="0" name=""/>
        <dsp:cNvSpPr/>
      </dsp:nvSpPr>
      <dsp:spPr>
        <a:xfrm>
          <a:off x="2999666" y="1835879"/>
          <a:ext cx="1687550" cy="590168"/>
        </a:xfrm>
        <a:prstGeom prst="roundRect">
          <a:avLst>
            <a:gd name="adj" fmla="val 10000"/>
          </a:avLst>
        </a:prstGeom>
        <a:solidFill>
          <a:srgbClr val="C00000"/>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cap="none" spc="0">
              <a:ln w="0">
                <a:noFill/>
              </a:ln>
              <a:solidFill>
                <a:schemeClr val="bg1"/>
              </a:solidFill>
              <a:effectLst>
                <a:outerShdw blurRad="50800" dist="38100" dir="5400000" algn="t" rotWithShape="0">
                  <a:prstClr val="black">
                    <a:alpha val="40000"/>
                  </a:prstClr>
                </a:outerShdw>
              </a:effectLst>
              <a:latin typeface="+mn-lt"/>
            </a:rPr>
            <a:t>OT/PT</a:t>
          </a:r>
          <a:br>
            <a:rPr lang="en-US" sz="1200" b="1" kern="1200" cap="none" spc="0">
              <a:ln w="0">
                <a:noFill/>
              </a:ln>
              <a:solidFill>
                <a:schemeClr val="bg1"/>
              </a:solidFill>
              <a:effectLst>
                <a:outerShdw blurRad="50800" dist="38100" dir="5400000" algn="t" rotWithShape="0">
                  <a:prstClr val="black">
                    <a:alpha val="40000"/>
                  </a:prstClr>
                </a:outerShdw>
              </a:effectLst>
              <a:latin typeface="+mn-lt"/>
            </a:rPr>
          </a:br>
          <a:r>
            <a:rPr lang="en-US" sz="1200" b="1" kern="1200" cap="none" spc="0">
              <a:ln w="0">
                <a:noFill/>
              </a:ln>
              <a:solidFill>
                <a:schemeClr val="bg1"/>
              </a:solidFill>
              <a:effectLst>
                <a:outerShdw blurRad="50800" dist="38100" dir="5400000" algn="t" rotWithShape="0">
                  <a:prstClr val="black">
                    <a:alpha val="40000"/>
                  </a:prstClr>
                </a:outerShdw>
              </a:effectLst>
              <a:latin typeface="+mn-lt"/>
            </a:rPr>
            <a:t> MEDICAID PHYSICIANS</a:t>
          </a:r>
          <a:endParaRPr lang="en-US" sz="1200" kern="1200"/>
        </a:p>
      </dsp:txBody>
      <dsp:txXfrm>
        <a:off x="3016951" y="1853164"/>
        <a:ext cx="1652980" cy="55559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D2D0-0B97-4A9D-A7F4-A4B749C2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3385</Words>
  <Characters>19298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Lauther Donovan A</dc:creator>
  <cp:keywords/>
  <dc:description/>
  <cp:lastModifiedBy>Donovan Lauther</cp:lastModifiedBy>
  <cp:revision>2</cp:revision>
  <dcterms:created xsi:type="dcterms:W3CDTF">2020-03-04T02:17:00Z</dcterms:created>
  <dcterms:modified xsi:type="dcterms:W3CDTF">2020-03-04T02:17:00Z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id="jRzY4gni"/&gt;&lt;style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